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a76541b52e4a4d10"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113</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Podu Inalt Vaslui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Dezvoltarea afacerilor in domenii neagricole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a desfasurat activitateeconomica cel putin in ultimii doiani anteriori depunerii cererii definantare.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verifica:Certificatul constatator ONRC – verificarea datei înființării și a codurilor CAEN / alte documente privind infiintarea si autorizarea activitatii economicesi Bilanț contabil / Situații financiare anuale  sau Registru incasari si plati si</w:t>
            </w:r>
            <w:r>
              <w:rPr>
                <w:rFonts w:ascii="Cambria Bold" w:hAnsi="Cambria Bold"/>
                <w:b/>
                <w:sz w:val="24"/>
              </w:rPr>
              <w:t> Declaratie unica (PFA,I.I., I.F.)</w:t>
            </w:r>
            <w:r>
              <w:rPr>
                <w:rFonts w:ascii="Cambria" w:hAnsi="Cambria"/>
                <w:b w:val="false"/>
                <w:sz w:val="24"/>
              </w:rPr>
              <w:t>pentru ultimii doi ani fiscali anteriori anului depunerii cererii de finanțareSe verifica daca:</w:t>
            </w:r>
          </w:p>
          <w:p>
            <w:pPr>
              <w:pStyle w:val="ListParagraph"/>
              <w:numPr>
                <w:ilvl w:val="0"/>
                <w:numId w:val="2"/>
              </w:numPr>
            </w:pPr>
            <w:r>
              <w:rPr>
                <w:rFonts w:ascii="Cambria" w:hAnsi="Cambria"/>
                <w:b w:val="false"/>
                <w:sz w:val="24"/>
              </w:rPr>
              <w:t>solicitantul a avut venituri din exploatare /  </w:t>
            </w:r>
            <w:r>
              <w:rPr>
                <w:rFonts w:ascii="Cambria" w:hAnsi="Cambria"/>
                <w:b w:val="false"/>
                <w:sz w:val="24"/>
              </w:rPr>
              <w:t>cifra de afaceri de  </w:t>
            </w:r>
            <w:r>
              <w:rPr>
                <w:rFonts w:ascii="Cambria Bold" w:hAnsi="Cambria Bold"/>
                <w:b/>
                <w:sz w:val="24"/>
              </w:rPr>
              <w:t>minim 50.000 lei</w:t>
            </w:r>
            <w:r>
              <w:rPr>
                <w:rFonts w:ascii="Cambria" w:hAnsi="Cambria"/>
                <w:b w:val="false"/>
                <w:sz w:val="24"/>
              </w:rPr>
              <w:t>  în fiecare din ultimii doi ani fiscali anteriori anului depunerii CF.</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are sediul social sipunctul de lucru unde seimplementeaza investitia interitoriul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daca sediul social este amplasat in teritoriul GAL Podu Înalt.Daca este cazul, punctul de lucru unde va fi locatia de implementare a proiectului, trebuie sa fie in teritoriul GAL; aceasta conditie se verifica la transa de plata finala.Se verifica mentiunile din Cererea de finantare, sectiunea A 8 si Certificatul Constatator.Acest criteriu trebuie mentinut pe toata perioada de executie a contractului de finantare.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face dovada spatiului(constructie / teren) unde va realiza investitia.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mențiunea din Cererea de finanțare, secțiunea A 9.4. În funcție de categoria de investiție bifată și de tipul investiției ce urmează a fi realizată, solicitantul trebuie să prezinte documente doveditoare pentru teren și/sau clădire, astfel încât activitatea economică propusă să poată fi desfășurată în condiții normale. Documentele justificative sunt enumerate la Secțiunea E.1 din Cererea de finanțare, punctul 3.</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Investitia trebuie sa se incadreze in cel putin unul din tipurile deactivitati, conform listei de coduriCAEN eligibile.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daca codul CAEN pentru care se solicita finantare este eligibil in cadrul apelului de proiecte, conform Anexei 4- Lista codurilor CAEN eligibile la nivelul GAL si daca este exprimat in format CAEN Rev. 3 atat in cererea de finantare cat si in certificatul constatator ONRC.Solicitantul poate propune realizarea de activitati aferente unui numar de maximum 5 (cinci) coduri CAEN, in situatia in care aceste activitati se completeaza, dezvolta sau se optimizeaza reciproc.Daca se propune finantarea mai multor coduri CAEN, acestea trebuie:</w:t>
            </w:r>
          </w:p>
          <w:p>
            <w:pPr>
              <w:pStyle w:val="ListParagraph"/>
              <w:numPr>
                <w:ilvl w:val="0"/>
                <w:numId w:val="2"/>
              </w:numPr>
            </w:pPr>
            <w:r>
              <w:rPr>
                <w:rFonts w:ascii="Cambria" w:hAnsi="Cambria"/>
                <w:b w:val="false"/>
                <w:sz w:val="24"/>
              </w:rPr>
              <w:t>sa fie corelate intre ele functional si / sau operational;</w:t>
            </w:r>
          </w:p>
          <w:p>
            <w:pPr>
              <w:pStyle w:val="ListParagraph"/>
              <w:numPr>
                <w:ilvl w:val="0"/>
                <w:numId w:val="2"/>
              </w:numPr>
            </w:pPr>
            <w:r>
              <w:rPr>
                <w:rFonts w:ascii="Cambria" w:hAnsi="Cambria"/>
                <w:b w:val="false"/>
                <w:sz w:val="24"/>
              </w:rPr>
              <w:t>sa sprijine dezvoltarea unei activitati economice coerente si unitare;</w:t>
            </w:r>
          </w:p>
          <w:p>
            <w:r>
              <w:rPr>
                <w:rFonts w:ascii="Cambria" w:hAnsi="Cambria"/>
                <w:b w:val="false"/>
                <w:sz w:val="24"/>
              </w:rPr>
              <w:t>Toate codurile CAEN propuse a fi finantate trebuie sa se regaseasca incertificatul constatator al solicitantului la momentul depunerii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Alte criterii de eligibilitate generale stabilite la nivelul PNS 2023 - 2027.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Verificarea respectarii criteriilor generale de eligibilitate stabilite lanivelul PNS 2023 - 2027 se face in conformitate cu prevederile dejadescrise in sectiunea anterioara „Conditii generale de eligibilitate” dinprezentul ghid.</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Indeplinirea conditiilor deeligibilitate comune aplicabiletuturor masurilor din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Condițiile de mai jos sunt prezentate într-o formă consolidată, fiind deja analizate, integral sau parțial, în secțiunea anterioară a ghidului – Condiții generale de eligibilitate. Reiterarea lor are scopul de a evidenția cerințele comune aplicabile tuturor măsurilor din SDL. În cazul în care, în etapa anterioară, nu a fost posibilă verificarea uneia sau mai multora dintre aceste condiții, acestea vor fi analizate și verificate în cadrul prezentei secțiuni.6.1 Solicitantul trebuie sa se incadreze in categoria beneficiarilor eligibili;6.2 Solicitantul nu trebuie sa fie in insolventa sau incapacitate de plata;6.3 Investitia trebuie sa fie in corelare cu orice strategie de dezvoltarenationala / regionala / judeteana / locala aprobata, corespunzatoaredomeniului de investitii;Verificarea se realizează de către GAL, pe baza descrierii investițieipropuse de solicitant, prin analiza încadrării acesteia în tipurile de acțiuni eligibile prevăzute în fișa măsurii din SDL.6.4 Solicitantul trebuie sa demonstreze necesitatea realizarii investitiei;6.5 Investitia sa se realizeze in teritoriul acoperit de GAL Podu InaltVaslui;6.6 Solicitantul trebuie sa demonstreze asigurarea cofinantarii investitiei in etapa de contractare;6.7 Investitia va respecta prevederile legislatiei nationale in vigoareaplicabila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Costurile eligibile cu lucrarile deconstructii-montaj, nu depasesc30% din valoarea eligibila aproiectului.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Acest criteriu se verifica in doua etape:1. La depunerea cererii de finantare</w:t>
            </w:r>
          </w:p>
          <w:p>
            <w:pPr>
              <w:pStyle w:val="ListParagraph"/>
              <w:numPr>
                <w:ilvl w:val="0"/>
                <w:numId w:val="2"/>
              </w:numPr>
            </w:pPr>
            <w:r>
              <w:rPr>
                <w:rFonts w:ascii="Cambria" w:hAnsi="Cambria"/>
                <w:b w:val="false"/>
                <w:sz w:val="24"/>
              </w:rPr>
              <w:t>Documente analizate: Bugetul indicativ al proiectului si devizele financiare;</w:t>
            </w:r>
          </w:p>
          <w:p>
            <w:pPr>
              <w:pStyle w:val="ListParagraph"/>
              <w:numPr>
                <w:ilvl w:val="0"/>
                <w:numId w:val="2"/>
              </w:numPr>
            </w:pPr>
            <w:r>
              <w:rPr>
                <w:rFonts w:ascii="Cambria" w:hAnsi="Cambria"/>
                <w:b w:val="false"/>
                <w:sz w:val="24"/>
              </w:rPr>
              <w:t>Declaratia solicitantului (Anexa 5)</w:t>
            </w:r>
          </w:p>
          <w:p>
            <w:r>
              <w:rPr>
                <w:rFonts w:ascii="Cambria" w:hAnsi="Cambria"/>
                <w:b w:val="false"/>
                <w:sz w:val="24"/>
              </w:rPr>
              <w:t>2. La cererea de plată finală:</w:t>
            </w:r>
          </w:p>
          <w:p>
            <w:pPr>
              <w:pStyle w:val="ListParagraph"/>
              <w:numPr>
                <w:ilvl w:val="0"/>
                <w:numId w:val="3"/>
              </w:numPr>
            </w:pPr>
            <w:r>
              <w:rPr>
                <w:rFonts w:ascii="Cambria" w:hAnsi="Cambria"/>
                <w:b w:val="false"/>
                <w:sz w:val="24"/>
              </w:rPr>
              <w:t>Documente analizate:</w:t>
            </w:r>
          </w:p>
          <w:p>
            <w:pPr>
              <w:spacing w:line="360" w:lineRule="auto"/>
              <w:ind w:left="0" w:right="0" w:firstLine="493"/>
            </w:pPr>
            <w:r>
              <w:rPr>
                <w:rFonts w:ascii="Cambria" w:hAnsi="Cambria"/>
                <w:b w:val="false"/>
                <w:sz w:val="24"/>
              </w:rPr>
              <w:t>           - Centralizator cheltuieli eligibile decontate.</w:t>
            </w:r>
          </w:p>
          <w:p>
            <w:r>
              <w:rPr>
                <w:rFonts w:ascii="Cambria" w:hAnsi="Cambria"/>
                <w:b w:val="false"/>
                <w:sz w:val="24"/>
              </w:rPr>
              <w:t>            - Facturi si documente justificative depuse.Atât la depunerea proiectului, cât și la depunerea cererilor de plată, se verifică respectarea condiției conform căreia minimum 70% din valoarea eligibilă totală a proiectului trebuie să fie aferentă liniilor 4.3, 4.4 și 4.5 din Bugetul indicativ al Cererii de finanțare, reprezentând cheltuieli care nu includ lucrări de construcții-montaj.</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Îndeplinirea condițiilorde eligibilitate comune aplicabiletuturor măsurilor din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Condițiile de mai jos sunt prezentate într-o formă consolidată, fiind deja analizate, integral sau parțial, în secțiunea anterioară a ghidului – Condiții generale de eligibilitate. Reiterarea lor are scopul de a evidenția cerințele comune aplicabile tuturor măsurilor din SDL. În cazul în care, în etapa anterioară, nu a fost posibilă verificarea uneia sau mai multora dintre aceste condiții, acestea vor fi analizate și verificate în cadrul prezentei secțiuni.8.1 Solicitantul trebuie să se încadreze în categoria beneficiarilor eligibili; 8.2 Solicitantul nu trebuie să fie în insolvență sau incapacitate de plată;8.3 Investiția trebuie să fie în corelare cu orice strategie dedezvoltare naţională / regională / județeană / locală aprobată,corespunzătoare domeniului de investiţii;Verificarea se realizeaza de catre GAL pe baza descrierii investitiei propuse de solicitant, prin analiza incadrarii acesteia in tipurile de actiuni eligibile prevazute in fisa masurii din SDL GAL Podu Inalt Vaslui 2023-2027.8.4 Solicitantul trebuie sa demonstreze necesitatea realizarii investitiei;8.5 Investiția să se realizeze în teritoriul acoperit de GAL PoduInalt Vaslui;8.6 Solicitantul trebuie să demonstreze asigurareacofinanțării investiției in etapa de contractare;8.7 Investiția va respecta prevederile legislației naționale învigoare aplicabilă proiectului.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diversificării activității agricole a fermierilor catre activități non agricole;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Proiecte care sunt inițiate de o întreprindere existentă (cel putin PFA),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 în UAT-ul în care va realiza investiția sau în UAT-uri limitrofe acestuia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pStyle w:val="ListParagraph"/>
              <w:numPr>
                <w:ilvl w:val="0"/>
                <w:numId w:val="2"/>
              </w:numPr>
            </w:pPr>
            <w:r>
              <w:rPr>
                <w:rFonts w:ascii="Cambria" w:hAnsi="Cambria"/>
                <w:b w:val="false"/>
                <w:sz w:val="24"/>
              </w:rPr>
              <w:t>Document care atesta forma de organizare.</w:t>
            </w:r>
          </w:p>
          <w:p>
            <w:pPr>
              <w:pStyle w:val="ListParagraph"/>
              <w:numPr>
                <w:ilvl w:val="0"/>
                <w:numId w:val="2"/>
              </w:numPr>
            </w:pPr>
            <w:r>
              <w:rPr>
                <w:rFonts w:ascii="Cambria" w:hAnsi="Cambria"/>
                <w:b w:val="false"/>
                <w:sz w:val="24"/>
              </w:rPr>
              <w:t>Certificat constatator ONRC.</w:t>
            </w:r>
          </w:p>
          <w:p>
            <w:pPr>
              <w:pStyle w:val="ListParagraph"/>
              <w:numPr>
                <w:ilvl w:val="0"/>
                <w:numId w:val="2"/>
              </w:numPr>
            </w:pPr>
            <w:r>
              <w:rPr>
                <w:rFonts w:ascii="Cambria" w:hAnsi="Cambria"/>
                <w:b w:val="false"/>
                <w:sz w:val="24"/>
              </w:rPr>
              <w:t>Anexa 4- Coduri CAEN eligibile.</w:t>
            </w:r>
          </w:p>
          <w:p>
            <w:pPr>
              <w:pStyle w:val="ListParagraph"/>
              <w:numPr>
                <w:ilvl w:val="0"/>
                <w:numId w:val="2"/>
              </w:numPr>
            </w:pPr>
            <w:r>
              <w:rPr>
                <w:rFonts w:ascii="Cambria" w:hAnsi="Cambria"/>
                <w:b w:val="false"/>
                <w:sz w:val="24"/>
              </w:rPr>
              <w:t>Doc APIA / Adeverinta medic / Copie extras din Registrul agricol.</w:t>
            </w:r>
          </w:p>
          <w:p>
            <w:pPr>
              <w:pStyle w:val="ListParagraph"/>
              <w:numPr>
                <w:ilvl w:val="0"/>
                <w:numId w:val="2"/>
              </w:numPr>
            </w:pPr>
            <w:r>
              <w:rPr>
                <w:rFonts w:ascii="Cambria" w:hAnsi="Cambria"/>
                <w:b w:val="false"/>
                <w:sz w:val="24"/>
              </w:rPr>
              <w:t>Situatii financiare/ Declaraţie unică privind impozitul pe venit.</w:t>
            </w:r>
          </w:p>
          <w:p>
            <w:pPr>
              <w:pStyle w:val="ListParagraph"/>
              <w:numPr>
                <w:ilvl w:val="0"/>
                <w:numId w:val="2"/>
              </w:numPr>
            </w:pPr>
            <w:r>
              <w:rPr>
                <w:rFonts w:ascii="Cambria" w:hAnsi="Cambria"/>
                <w:b w:val="false"/>
                <w:sz w:val="24"/>
              </w:rPr>
              <w:t>Declaratie emisa de un expert contabil din care sa reiasa ca solicitantul a obtinut venituri de exploatare iar minim 50% din acestea sunt din activitati agricole.</w:t>
            </w:r>
          </w:p>
          <w:p>
            <w:pPr>
              <w:spacing w:line="360" w:lineRule="auto"/>
              <w:ind w:left="0" w:right="0" w:firstLine="493"/>
            </w:pPr>
            <w:r>
              <w:rPr>
                <w:rFonts w:ascii="Cambria" w:hAnsi="Cambria"/>
                <w:b w:val="false"/>
                <w:sz w:val="24"/>
              </w:rPr>
              <w:t>Se verifica in Certificatul constatator daca solicitantul este inregistrat cu codul CAEN 01 Agricultură, vânătoare și servicii anexe, aferent unei activitati agricole, forma de organizare și documentele financiar-contabile din care să reiasă că solicitantul a obținut venituri in principal din activitatea agricolă.</w:t>
            </w:r>
          </w:p>
          <w:p>
            <w:r>
              <w:rPr>
                <w:rFonts w:ascii="Cambria" w:hAnsi="Cambria"/>
                <w:b w:val="false"/>
                <w:sz w:val="24"/>
              </w:rPr>
              <w:t>Se verifică in Declaratia APIA/ Registrul Exploatatiei ANSVSA/ Registrul Agricol daca solicitantul este inscris cuminimum 12 luni consecutive inainte de data depunerii Cererii de Finantare.Este necesara inregistrarea cu terenuri in Baza de date APIA, nu doar atribuirea de cod RO APIA.Se verifică documentul însușit de un expert contabil din care să rezulte că solicitantul a obtinut venituri din exploatare, din care veniturile din activități agricole reprezintă cel puțin 50% din veniturile de exploatare ale solicitantuluiÎn cazul PFA, II și IF, se verifică documentul însușit de un expert contabil din care să rezulte că solicitantul a obtinut venituri din activitățile agricole de cel puțin 50% din total venit brut din anul precedent depunerii cererii de finantare, în cazul în care în Declaraţia unică privind impozitul pe venit și contribuțiile sociale datorate de persoanele fizice s-au bifat mai multe categorii de venituri.Cele doua conditii trebuie indeplinite cumulat pentru a obtine punctajul aferent acestui criteriu de selectie.Activitatea agricolă trebuie să se fi desfăşurat în UAT-ul în care va realiza investiția sau în UAT-uri limitrofe acestuia.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Prioritizare sectorială cu scopul promovării sectoarelor deficitare dar cu potențial;</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Proiectul vizeaza o activitate pentru care se acorda punctaj maxim, conform Anexei la Ghid. </w:t>
            </w:r>
          </w:p>
        </w:tc>
        <w:tc>
          <w:tcPr>
            <w:vAlign w:val="center"/>
          </w:tcPr>
          <w:p>
            <w:pPr>
              <w:keepNext/>
              <w:spacing w:line="360" w:lineRule="auto"/>
              <w:ind w:left="0" w:right="0" w:firstLine="493"/>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dacă solicitantul este inregistrat cu codul CAEN al activităţii care se finanţează prin proiect conform CF şi dacă acest cod CAEN se regăseşte in codurile CAEN din domeniile de activitate prioritizate Anexa 4 la Ghid (in functie de punctajul acordat in coloana 3).</w:t>
            </w:r>
          </w:p>
          <w:p>
            <w:pPr>
              <w:spacing w:line="360" w:lineRule="auto"/>
              <w:ind w:left="0" w:right="0" w:firstLine="493"/>
            </w:pPr>
            <w:r>
              <w:rPr>
                <w:rFonts w:ascii="Cambria" w:hAnsi="Cambria"/>
                <w:b w:val="false"/>
                <w:sz w:val="24"/>
              </w:rPr>
              <w:t>Pentru fiecare cod CAEN înscris, se identifică valoarea corespunzătoare din coloana nr. 3 din Anexă, care indică nivelul de punctaj acordat.</w:t>
            </w:r>
          </w:p>
          <w:p>
            <w:pPr>
              <w:spacing w:line="360" w:lineRule="auto"/>
              <w:ind w:left="0" w:right="0" w:firstLine="493"/>
            </w:pPr>
            <w:r>
              <w:rPr>
                <w:rFonts w:ascii="Cambria" w:hAnsi="Cambria"/>
                <w:b w:val="false"/>
                <w:sz w:val="24"/>
              </w:rPr>
              <w:t>În situația în care solicitantul a înscris un singur cod CAEN in sectiunea "Codul CAEN al activităţii/ activităţilor finanţate prin proiect" din CF, se va acorda punctajul corespunzător codului CAEN respectiv din coloana nr. 3</w:t>
            </w:r>
          </w:p>
          <w:p>
            <w:pPr>
              <w:spacing w:line="360" w:lineRule="auto"/>
              <w:ind w:left="0" w:right="0" w:firstLine="493"/>
            </w:pPr>
            <w:r>
              <w:rPr>
                <w:rFonts w:ascii="Cambria" w:hAnsi="Cambria"/>
                <w:b w:val="false"/>
                <w:sz w:val="24"/>
              </w:rPr>
              <w:t>30 puncte – dacă pentru activitatea vizata se acordă punctaj maxim;</w:t>
            </w:r>
          </w:p>
          <w:p>
            <w:pPr>
              <w:spacing w:line="360" w:lineRule="auto"/>
              <w:ind w:left="0" w:right="0" w:firstLine="493"/>
            </w:pPr>
            <w:r>
              <w:rPr>
                <w:rFonts w:ascii="Cambria" w:hAnsi="Cambria"/>
                <w:b w:val="false"/>
                <w:sz w:val="24"/>
              </w:rPr>
              <w:t>15 puncte – dacă pentru activitatea vizata se acordă punctaj intermediar;</w:t>
            </w:r>
          </w:p>
          <w:p>
            <w:pPr>
              <w:spacing w:line="360" w:lineRule="auto"/>
              <w:ind w:left="0" w:right="0" w:firstLine="493"/>
            </w:pPr>
            <w:r>
              <w:rPr>
                <w:rFonts w:ascii="Cambria" w:hAnsi="Cambria"/>
                <w:b w:val="false"/>
                <w:sz w:val="24"/>
              </w:rPr>
              <w:t>0 puncte – dacă pentru activitatea vizata nu se acordă punctaj.</w:t>
            </w:r>
          </w:p>
          <w:p>
            <w:pPr>
              <w:spacing w:line="360" w:lineRule="auto"/>
              <w:ind w:left="0" w:right="0" w:firstLine="493"/>
            </w:pPr>
            <w:r>
              <w:rPr>
                <w:rFonts w:ascii="Cambria" w:hAnsi="Cambria"/>
                <w:b w:val="false"/>
                <w:sz w:val="24"/>
              </w:rPr>
              <w:t>În situația în care solicitantul a înscris mai multe coduri CAEN in sectiunea "Codul CAEN al activităţii/ activităţilor finanţate prin proiect" din CF, punctajul acordat va fi cel mai mic dintre punctajele asociate codurilor respective.</w:t>
            </w:r>
          </w:p>
          <w:p>
            <w:pPr>
              <w:spacing w:line="360" w:lineRule="auto"/>
              <w:ind w:left="0" w:right="0" w:firstLine="493"/>
            </w:pPr>
            <w:r>
              <w:rPr>
                <w:rFonts w:ascii="Cambria" w:hAnsi="Cambria"/>
                <w:b w:val="false"/>
                <w:sz w:val="24"/>
              </w:rPr>
              <w:t>In cadrul acestui criteriu, se acorda 30 puncte daca activitatea propusa se regaseste in Anexa nr 4 privind codurile CAEN eligibile la nivelul GAL si daca aceasta figureaza cu 30 puncte in coloana 3 din anexa.</w:t>
            </w:r>
          </w:p>
          <w:p>
            <w:pPr>
              <w:spacing w:line="360" w:lineRule="auto"/>
              <w:ind w:left="0" w:right="0" w:firstLine="493"/>
            </w:pPr>
            <w:r>
              <w:rPr>
                <w:rFonts w:ascii="Cambria" w:hAnsi="Cambria"/>
                <w:b w:val="false"/>
                <w:sz w:val="24"/>
              </w:rPr>
              <w:t>In cazul in care se propun activităţi aferente mai multor coduri CAEN, toate acestea trebuie să fie prioritizate ca avand 30 puncte, in conformitate cu anexa la Ghid.</w:t>
            </w:r>
          </w:p>
          <w:p>
            <w:pPr>
              <w:spacing w:line="360" w:lineRule="auto"/>
              <w:ind w:left="0" w:right="0" w:firstLine="493"/>
            </w:pPr>
            <w:r>
              <w:rPr>
                <w:rFonts w:ascii="Cambria" w:hAnsi="Cambria"/>
                <w:b w:val="false"/>
                <w:sz w:val="24"/>
              </w:rPr>
              <w:t>Punctajele aferente CS 2.1 și CS 2.2 nu se cumulează.</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Cererea de finanţare</w:t>
            </w:r>
          </w:p>
          <w:p>
            <w:pPr>
              <w:spacing w:line="360" w:lineRule="auto"/>
              <w:ind w:left="0" w:right="0" w:firstLine="493"/>
            </w:pPr>
            <w:r>
              <w:rPr>
                <w:rFonts w:ascii="Cambria" w:hAnsi="Cambria"/>
                <w:b w:val="false"/>
                <w:sz w:val="24"/>
              </w:rPr>
              <w:t>Certificat constatator ONRC</w:t>
            </w:r>
          </w:p>
          <w:p>
            <w:pPr>
              <w:spacing w:line="360" w:lineRule="auto"/>
              <w:ind w:left="0" w:right="0" w:firstLine="493"/>
            </w:pPr>
            <w:r>
              <w:rPr>
                <w:rFonts w:ascii="Cambria" w:hAnsi="Cambria"/>
                <w:b w:val="false"/>
                <w:sz w:val="24"/>
              </w:rPr>
              <w:t>Anexa 4 la Ghid - Lista coduri CAEN eligibile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rPr>
              <w:t>Proiectul vizeaza o activitate pentru care se acorda punctaj intermediar, conform Anexei la Ghid.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dacă solicitantul este inregistrat cu codul CAEN al activităţii care se finanţează prin proiect conform CF şi dacă acest cod CAEN se regăseşte in codurile CAEN din domeniile de activitate prioritizate Anexa 4 la Ghid (in functie de punctajul acordat in coloana 3).Pentru fiecare cod CAEN înscris, se identifică valoarea corespunzătoare din coloana nr. 3 din Anexă, care indică nivelul de punctaj acordat.În situația în care solicitantul a înscris un singur cod CAEN in sectiunea "Codul CAEN al activităţii/ activităţilor finanţate prin proiect" din CF, se va acorda punctajul corespunzător codului CAEN respectiv din coloana nr. 330 puncte – dacă pentru activitatea vizata se acordă punctaj maxim;15 puncte – dacă pentru activitatea vizata se acordă punctaj intermediar;0 puncte – dacă pentru activitatea vizata nu se acordă punctaj.In cadrul acestui criteriu, se acorda 15 puncte daca activitatea propusa se regaseste in Anexa nr 4 privind codurile CAEN eligibile la nivelul GAL si daca aceasta figureaza cu 15 puncte in coloana 3 din anexa.In cazul in care se propun activităţi aferente mai multor coduri CAEN, toate acestea trebuie să fie prioritizate ca avand minim 15 puncte, iar cel putin unul trebuie sa aiba 15 puncte, in conformitate cu anexa la Ghid. Astfel, punctajul acordat va fi cel mai mic dintre punctajele asociate codurilor respective.Punctajele aferente CS 2.1 și CS 2.2 nu se cumulează.Documente verificate:Cererea de finanţareCertificat constatator ONRCAnexa 4 la Ghid - Lista coduri CAEN eligibile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proiectelor care propun investitii în tehnologii performante/inovative;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Pondere ridicată a echipamentelor de lucru în bugetul eligibil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punctaj proiectelor care prevăd achiziția de echipamente de lucru în procent de peste 80% din valoarea eligibilă a proiectului.</w:t>
            </w:r>
          </w:p>
          <w:p>
            <w:pPr>
              <w:spacing w:line="360" w:lineRule="auto"/>
              <w:ind w:left="0" w:right="0" w:firstLine="493"/>
            </w:pPr>
            <w:r>
              <w:rPr>
                <w:rFonts w:ascii="Cambria" w:hAnsi="Cambria"/>
                <w:b w:val="false"/>
                <w:sz w:val="24"/>
              </w:rPr>
              <w:t>Se verifica bugetul indicativ si anexele din CF: valoarea eligibila insumata a liniilor  4.3, 4.4, 4.5 reprezinta minim 80% din valoarea eligibila a proiectului.</w:t>
            </w:r>
          </w:p>
          <w:p>
            <w:pPr>
              <w:spacing w:line="360" w:lineRule="auto"/>
              <w:ind w:left="0" w:right="0" w:firstLine="493"/>
            </w:pPr>
            <w:r>
              <w:rPr>
                <w:rFonts w:ascii="Cambria" w:hAnsi="Cambria"/>
                <w:b w:val="false"/>
                <w:sz w:val="24"/>
              </w:rPr>
              <w:t>Punctajele aferente CS 3.1 si CS 3.2 se cumuleaza.</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pPr>
              <w:spacing w:line="360" w:lineRule="auto"/>
              <w:ind w:left="0" w:right="0" w:firstLine="493"/>
            </w:pPr>
            <w:r>
              <w:rPr>
                <w:rFonts w:ascii="Cambria" w:hAnsi="Cambria"/>
                <w:b w:val="false"/>
                <w:color w:val="58400C"/>
                <w:sz w:val="24"/>
              </w:rPr>
              <w:t>Utilizarea de echipamente sau tehnologii cu funcționalități superioare celor uzuale în domeniu</w:t>
            </w:r>
          </w:p>
        </w:tc>
        <w:tc>
          <w:tcPr>
            <w:vAlign w:val="center"/>
          </w:tcPr>
          <w:p>
            <w:pPr>
              <w:keepNext/>
              <w:spacing w:line="360" w:lineRule="auto"/>
              <w:ind w:left="0" w:right="0" w:firstLine="493"/>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punctaj proiectelor care prevăd achiziția de echipamente, utilaje sau sisteme ce oferă funcționalități avansate față de cele standard, utilizate frecvent în domeniul vizat (precum automatizare, control digital, integrare IoT, eficiență energetică sporită, multitasking etc.).</w:t>
            </w:r>
          </w:p>
          <w:p>
            <w:pPr>
              <w:spacing w:line="360" w:lineRule="auto"/>
              <w:ind w:left="0" w:right="0" w:firstLine="493"/>
            </w:pPr>
            <w:r>
              <w:rPr>
                <w:rFonts w:ascii="Cambria" w:hAnsi="Cambria"/>
                <w:b w:val="false"/>
                <w:sz w:val="24"/>
              </w:rPr>
              <w:t>Documente justificative:</w:t>
            </w:r>
          </w:p>
          <w:p>
            <w:pPr>
              <w:spacing w:line="360" w:lineRule="auto"/>
              <w:ind w:left="0" w:right="0" w:firstLine="493"/>
            </w:pPr>
            <w:r>
              <w:rPr>
                <w:rFonts w:ascii="Cambria" w:hAnsi="Cambria"/>
                <w:b w:val="false"/>
                <w:sz w:val="24"/>
              </w:rPr>
              <w:t>Specificații tehnice din ofertă si contract;</w:t>
            </w:r>
          </w:p>
          <w:p>
            <w:pPr>
              <w:spacing w:line="360" w:lineRule="auto"/>
              <w:ind w:left="0" w:right="0" w:firstLine="493"/>
            </w:pPr>
            <w:r>
              <w:rPr>
                <w:rFonts w:ascii="Cambria" w:hAnsi="Cambria"/>
                <w:b w:val="false"/>
                <w:sz w:val="24"/>
              </w:rPr>
              <w:t>Descrierea comparației cu o soluție standard (pe scurt, în cadrul secțiunii dedicate din Cererea de finanțare).</w:t>
            </w:r>
          </w:p>
          <w:p>
            <w:pPr>
              <w:spacing w:line="360" w:lineRule="auto"/>
              <w:ind w:left="0" w:right="0" w:firstLine="493"/>
            </w:pPr>
            <w:r>
              <w:rPr>
                <w:rFonts w:ascii="Cambria" w:hAnsi="Cambria"/>
                <w:b w:val="false"/>
                <w:sz w:val="24"/>
              </w:rPr>
              <w:t>Exemple de funcționalități considerate superioare:</w:t>
            </w:r>
          </w:p>
          <w:p>
            <w:pPr>
              <w:pStyle w:val="ListParagraph"/>
              <w:numPr>
                <w:ilvl w:val="0"/>
                <w:numId w:val="2"/>
              </w:numPr>
            </w:pPr>
            <w:r>
              <w:rPr>
                <w:rFonts w:ascii="Cambria" w:hAnsi="Cambria"/>
                <w:b w:val="false"/>
                <w:sz w:val="24"/>
              </w:rPr>
              <w:t>Automatizare completă a procesului (vs. operare manuală);</w:t>
            </w:r>
          </w:p>
          <w:p>
            <w:pPr>
              <w:pStyle w:val="ListParagraph"/>
              <w:numPr>
                <w:ilvl w:val="0"/>
                <w:numId w:val="2"/>
              </w:numPr>
            </w:pPr>
            <w:r>
              <w:rPr>
                <w:rFonts w:ascii="Cambria" w:hAnsi="Cambria"/>
                <w:b w:val="false"/>
                <w:sz w:val="24"/>
              </w:rPr>
              <w:t>Interfață digitală / software de control;</w:t>
            </w:r>
          </w:p>
          <w:p>
            <w:pPr>
              <w:pStyle w:val="ListParagraph"/>
              <w:numPr>
                <w:ilvl w:val="0"/>
                <w:numId w:val="2"/>
              </w:numPr>
            </w:pPr>
            <w:r>
              <w:rPr>
                <w:rFonts w:ascii="Cambria" w:hAnsi="Cambria"/>
                <w:b w:val="false"/>
                <w:sz w:val="24"/>
              </w:rPr>
              <w:t>Senzori inteligenți / conectivitate la distanță;</w:t>
            </w:r>
          </w:p>
          <w:p>
            <w:pPr>
              <w:pStyle w:val="ListParagraph"/>
              <w:numPr>
                <w:ilvl w:val="0"/>
                <w:numId w:val="2"/>
              </w:numPr>
            </w:pPr>
            <w:r>
              <w:rPr>
                <w:rFonts w:ascii="Cambria" w:hAnsi="Cambria"/>
                <w:b w:val="false"/>
                <w:sz w:val="24"/>
              </w:rPr>
              <w:t>Integrare cu alte sisteme (ERP, CRM, etc.);</w:t>
            </w:r>
          </w:p>
          <w:p>
            <w:pPr>
              <w:pStyle w:val="ListParagraph"/>
              <w:numPr>
                <w:ilvl w:val="0"/>
                <w:numId w:val="2"/>
              </w:numPr>
            </w:pPr>
            <w:r>
              <w:rPr>
                <w:rFonts w:ascii="Cambria" w:hAnsi="Cambria"/>
                <w:b w:val="false"/>
                <w:sz w:val="24"/>
              </w:rPr>
              <w:t>Capacitate de procesare mai mare cu același consum de resurse.</w:t>
            </w:r>
          </w:p>
          <w:p>
            <w:pPr>
              <w:spacing w:line="360" w:lineRule="auto"/>
              <w:ind w:left="0" w:right="0" w:firstLine="493"/>
            </w:pPr>
            <w:r>
              <w:rPr>
                <w:rFonts w:ascii="Cambria Bold" w:hAnsi="Cambria Bold"/>
                <w:b/>
                <w:sz w:val="24"/>
              </w:rPr>
              <w:t>Atentie! </w:t>
            </w:r>
            <w:r>
              <w:rPr>
                <w:rFonts w:ascii="Cambria" w:hAnsi="Cambria"/>
                <w:b w:val="false"/>
                <w:sz w:val="24"/>
              </w:rPr>
              <w:t>Mijloacele de digitalizare vor fi utilizate in mod integrat in scopul proiectului. Simpla achizitie a unui mijloc de digitalizare fara a fi necesara utilizarea acestuia pentru productie , prestarea de servicii sau comercializarea productiei nu va fi puctata.</w:t>
            </w:r>
          </w:p>
          <w:p>
            <w:pPr>
              <w:spacing w:line="360" w:lineRule="auto"/>
              <w:ind w:left="0" w:right="0" w:firstLine="493"/>
            </w:pPr>
            <w:r>
              <w:rPr>
                <w:rFonts w:ascii="Cambria" w:hAnsi="Cambria"/>
                <w:b w:val="false"/>
                <w:sz w:val="24"/>
              </w:rPr>
              <w:t>Mijloacele de digitalizare pot fi computere, laptop - uri, servere, programe informatice specializate, iar prin studiul de Fezabilitate se va detalia utilizarea si integrarea acestora in scopul digitalizarii unor activitati. De exemplu: achizitia unui computer, a unui software pentru managementul documentelor sau sau abonarea la o platforma de comercializare deja existenta nu conduc automat la indeplinirea acestui criteriu. Pentru indeplinirea criteriului, cheltuelile cu achizitia mijloacelor de digitalizare trebuie sa fie de minim 2% din valoarea eligibila a proiectului. In cazul achizitionarii utilajelor sau liniilor tehnologice de fabricatie / productie cu soft inclus, se va lua in considerare valoarea totala a utilajului sau a liniei de productie.</w:t>
            </w:r>
          </w:p>
          <w:p>
            <w:pPr>
              <w:spacing w:line="360" w:lineRule="auto"/>
              <w:ind w:left="0" w:right="0" w:firstLine="493"/>
            </w:pPr>
            <w:r>
              <w:rPr>
                <w:rFonts w:ascii="Cambria" w:hAnsi="Cambria"/>
                <w:b w:val="false"/>
                <w:sz w:val="24"/>
              </w:rPr>
              <w:t>Punctajele aferente CS 3.1 si CS 3.2 se cumuleaza.</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Performanțe financiare și operaționale.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Întreprindere activă fără întrerupere cel puțin 3 ani și cu profit operațional în doi ani  </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obligatorii:</w:t>
            </w:r>
          </w:p>
          <w:p>
            <w:pPr>
              <w:pStyle w:val="ListParagraph"/>
              <w:numPr>
                <w:ilvl w:val="0"/>
                <w:numId w:val="2"/>
              </w:numPr>
            </w:pPr>
            <w:r>
              <w:rPr>
                <w:rFonts w:ascii="Cambria" w:hAnsi="Cambria"/>
                <w:b w:val="false"/>
                <w:sz w:val="24"/>
              </w:rPr>
              <w:t>situatii financiare/bilant pentru ultimii 3 ani fiscali incheiati.</w:t>
            </w:r>
          </w:p>
          <w:p>
            <w:pPr>
              <w:pStyle w:val="ListParagraph"/>
              <w:numPr>
                <w:ilvl w:val="0"/>
                <w:numId w:val="2"/>
              </w:numPr>
            </w:pPr>
            <w:r>
              <w:rPr>
                <w:rFonts w:ascii="Cambria" w:hAnsi="Cambria"/>
                <w:b w:val="false"/>
                <w:sz w:val="24"/>
              </w:rPr>
              <w:t>declaratie unica si/sau registru incasari si plati sau declaratie expert contabil pentru PFA, II, IF.</w:t>
            </w:r>
          </w:p>
          <w:p>
            <w:pPr>
              <w:spacing w:line="360" w:lineRule="auto"/>
              <w:ind w:left="0" w:right="0" w:firstLine="493"/>
            </w:pPr>
            <w:r>
              <w:rPr>
                <w:rFonts w:ascii="Cambria" w:hAnsi="Cambria"/>
                <w:b w:val="false"/>
                <w:sz w:val="24"/>
              </w:rPr>
              <w:t>Se verifica documentele contabile aferente anilor vizati: bilant /declaratie unica/ registre/  declaratie expert contabil.</w:t>
            </w:r>
          </w:p>
          <w:p>
            <w:pPr>
              <w:spacing w:line="360" w:lineRule="auto"/>
              <w:ind w:left="0" w:right="0" w:firstLine="493"/>
            </w:pPr>
            <w:r>
              <w:rPr>
                <w:rFonts w:ascii="Cambria" w:hAnsi="Cambria"/>
                <w:b w:val="false"/>
                <w:sz w:val="24"/>
              </w:rPr>
              <w:t>Se acorda punctaj daca intreprinderea a avut activitate economica in ultimii 3 ani fiscali anteriori anului depunerii cererii de finantare si daca rezultatul din exploatare este pozitiv in cel putin 2 ani dintre cei 3 ani analizati.</w:t>
            </w:r>
          </w:p>
          <w:p>
            <w:pPr>
              <w:spacing w:line="360" w:lineRule="auto"/>
              <w:ind w:left="0" w:right="0" w:firstLine="493"/>
            </w:pPr>
            <w:r>
              <w:rPr>
                <w:rFonts w:ascii="Cambria" w:hAnsi="Cambria"/>
                <w:b w:val="false"/>
                <w:sz w:val="24"/>
              </w:rPr>
              <w:t>Punctajele aferente CS 4.1 și CS 4.2 nu se cumulează.</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w:hAnsi="Cambria"/>
                <w:b w:val="false"/>
                <w:color w:val="58400C"/>
                <w:sz w:val="24"/>
              </w:rPr>
              <w:t>Întreprinderea este activă, fără întrerupere, de cel puțin 2 ani și a înregistrat profit operațional în cel puțin un exercițiu financiar.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obligatorii:</w:t>
            </w:r>
          </w:p>
          <w:p>
            <w:pPr>
              <w:pStyle w:val="ListParagraph"/>
              <w:numPr>
                <w:ilvl w:val="0"/>
                <w:numId w:val="2"/>
              </w:numPr>
            </w:pPr>
            <w:r>
              <w:rPr>
                <w:rFonts w:ascii="Cambria" w:hAnsi="Cambria"/>
                <w:b w:val="false"/>
                <w:sz w:val="24"/>
              </w:rPr>
              <w:t>situatii financiare/bilant pentru ultimii 2 ani fiscali incheiati.</w:t>
            </w:r>
          </w:p>
          <w:p>
            <w:pPr>
              <w:pStyle w:val="ListParagraph"/>
              <w:numPr>
                <w:ilvl w:val="0"/>
                <w:numId w:val="2"/>
              </w:numPr>
            </w:pPr>
            <w:r>
              <w:rPr>
                <w:rFonts w:ascii="Cambria" w:hAnsi="Cambria"/>
                <w:b w:val="false"/>
                <w:sz w:val="24"/>
              </w:rPr>
              <w:t>declaratie unica si/sau registru incasari si plati sau declaratie expert contabil pentru PFA, II, IF.</w:t>
            </w:r>
          </w:p>
          <w:p>
            <w:pPr>
              <w:spacing w:line="360" w:lineRule="auto"/>
              <w:ind w:left="0" w:right="0" w:firstLine="493"/>
            </w:pPr>
            <w:r>
              <w:rPr>
                <w:rFonts w:ascii="Cambria" w:hAnsi="Cambria"/>
                <w:b w:val="false"/>
                <w:sz w:val="24"/>
              </w:rPr>
              <w:t>Se verifica documentele contabile aferente anilor vizati: bilant /declaratie unica/ registre/  declaratie expert contabil.</w:t>
            </w:r>
          </w:p>
          <w:p>
            <w:pPr>
              <w:spacing w:line="360" w:lineRule="auto"/>
              <w:ind w:left="0" w:right="0" w:firstLine="493"/>
            </w:pPr>
            <w:r>
              <w:rPr>
                <w:rFonts w:ascii="Cambria" w:hAnsi="Cambria"/>
                <w:b w:val="false"/>
                <w:sz w:val="24"/>
              </w:rPr>
              <w:t>Se acorda punctaj daca rezultatul din exploatare este pozitiv in cel putin unul dintre cei 2 ani analizati.</w:t>
            </w:r>
          </w:p>
          <w:p>
            <w:pPr>
              <w:spacing w:line="360" w:lineRule="auto"/>
              <w:ind w:left="0" w:right="0" w:firstLine="493"/>
            </w:pPr>
            <w:r>
              <w:rPr>
                <w:rFonts w:ascii="Cambria" w:hAnsi="Cambria"/>
                <w:b w:val="false"/>
                <w:sz w:val="24"/>
              </w:rPr>
              <w:t>Punctajele aferente CS 4.1 și CS 4.2 nu se cumulează.</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Prioritate pentru solicitanții fără finanțare anterioară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Au prioritate solicitantii care nu au beneficiat de finantare prin PNDR 2014-2020 ( inclusiv perioada de tranzitie) si / sau PNS 2023 - 2027, inclusiv prin sM. 19.2 LEADER.</w:t>
            </w:r>
          </w:p>
          <w:p>
            <w:pPr>
              <w:spacing w:line="360" w:lineRule="auto"/>
              <w:ind w:left="0" w:right="0" w:firstLine="493"/>
            </w:pPr>
            <w:r>
              <w:rPr>
                <w:rFonts w:ascii="Cambria" w:hAnsi="Cambria"/>
                <w:b w:val="false"/>
                <w:sz w:val="24"/>
              </w:rPr>
              <w:t>Se verifica declaratia solicitantului.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Proiecte care au primit punctaj la Criteriul de selectie 3.1.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Au prioritate proiectele care au primit punctaj la CS 3.1.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Proiecte care au primit punctaj la Criteriul de selectie 4.1.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Au prioritate proiectele care au primit punctaj la CS 4.1.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w:t>
            </w:r>
          </w:p>
        </w:tc>
        <w:tc>
          <w:tcPr>
            <w:shd w:val="clear" w:color="auto" w:fill="F8ECD2"/>
            <w:vAlign w:val="center"/>
          </w:tcPr>
          <w:p>
            <w:r>
              <w:rPr>
                <w:rFonts w:ascii="Cambria" w:hAnsi="Cambria"/>
                <w:b w:val="false"/>
                <w:color w:val="58400C"/>
                <w:sz w:val="24"/>
              </w:rPr>
              <w:t>Valoarea cifrei de afaceri in anulanterior depunerii CF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Au prioritate solicitanții care, în anul fiscal anterior depunerii cererii de finanțare, au înregistrat o cifră de afaceri / valoare a veniturilor din exploatare, mai mare.  Se verifică situatiile financiare / declaratia unica si registrul jurnal de incasari si plati.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5</w:t>
            </w:r>
          </w:p>
        </w:tc>
        <w:tc>
          <w:tcPr>
            <w:shd w:val="clear" w:color="auto" w:fill="F8ECD2"/>
            <w:vAlign w:val="center"/>
          </w:tcPr>
          <w:p>
            <w:r>
              <w:rPr>
                <w:rFonts w:ascii="Cambria" w:hAnsi="Cambria"/>
                <w:b w:val="false"/>
                <w:color w:val="58400C"/>
                <w:sz w:val="24"/>
              </w:rPr>
              <w:t>Data si ora depunerii proiectului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In cazul in care doua sau mai multe proiecte obtin acelasi punctaj in urma evaluarii, se va acorda prioritate proiectului care a fost inregistrat primul in sistemul de depunere, in functie de data si ora depunerii. Dovada orei de depunere a proiectului va fi generata de platforma electronica de depunere.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746c40ec56c14b59" /><Relationship Type="http://schemas.openxmlformats.org/officeDocument/2006/relationships/numbering" Target="/word/numbering.xml" Id="R6f8a9941e9ca4bab" /></Relationships>
</file>