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c0acaca0aea84bb4"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113</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Podu Inalt Vaslui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Dezvoltarea serviciilor publice locale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Proiectul trebuie sa demonstrezeimpactul la nivelul comunitatii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verifica in Studiu de Fezabilitate/Memoriu Justificativ/Cerere de Finantare daca proiectul aduce beneficii concrete si masurabile membrilor comunitatii, cum ar fi: imbunatatirea calitatii sau capacitatii serviciilor publice locale, extinderea infrastructurii locale, cresterea accesului populatiei la utilitati sau facilitati publice, optimizarea costurilor administrative sau reducerea unor probleme locale identificate(ex: poluare, riscuri naturale). Impactul trebuie sustinut prin indicatori clari, termene de realizare realiste si estimari justificabile ale beneficiilor pentru populatia locala.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Proiectul se aliniaza cu strategiile si initiativele locale/ judetene/ regionale/ nationale;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 Se va verifica în Studiul de fezabilitate / Memoriul justificativ / Cererea de finanțare dacă proiectul include o justificare clară privind corelarea cu cel puțin o strategie locală, județeană sau națională.• Se verifică prezentarea extrasului/extraselor relevante din strategiile menționate.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trebuie sa faca dovadaproprietatii/ administrariiterenului/ bunului pe care serealizeaza investitia;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 Se verifica Studiul de Fezabilitate/ Memoriu justificativ/Cererea de finantare• Inventarul bunurilor ce aparţin domeniului public al comunei/comunelor, întocmit conform legislaţiei în vigoare privind proprietatea publică şi regimul juridic al acesteia, atestat prin Hotărâre a Guvernului şi publicat în Monitorul Oficial al Românieişi• Hotărârea Consiliului Local privind aprobarea modificărilor şi/sau completărilor la inventar în sensul includerii în domeniul public a altor bunuri (supusă controlului de legalitate al Prefectului, în condiţiile legii)şi• Documente doveditoare de către ONG-uri/Unităţi de cult/etc privind dreptul de proprietate /administrare pe o perioadă de 10 ani, asupra bunurilor imobile la care se vor efectua lucrări/dotări, conform cererii de finanţare;• Documente doveditoare a dreptului de proprietate/ administrare pe o perioadă de minimum 10 ani asupra bunurilor imobile care fac obiectul realizării investiţiei propuse(pentru solicitanţi cu forme de organizare care nu au fost menţionate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Alte criterii de eligibilitae generalestabilite la nivelul PNS 2023 - 2027.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 Verificarea respectării criteriilor generale de eligibilitate stabilite la nivelul PNS 2023–2027 se face în conformitate cu prevederile deja descrise în secțiunea anterioară „Condiții generale de eligibilitate” din prezentul ghid.</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  </w:t>
            </w:r>
          </w:p>
        </w:tc>
        <w:tc>
          <w:tcPr>
            <w:vAlign w:val="center"/>
          </w:tcPr>
          <w:p>
            <w:r>
              <w:rPr>
                <w:rFonts w:ascii="Cambria Bold" w:hAnsi="Cambria Bold"/>
                <w:b/>
                <w:color w:val="1B4167"/>
                <w:sz w:val="24"/>
              </w:rPr>
              <w:t>Îndeplinirea condițiilor deeligibilitate comune aplicabiletuturor măsurilor din SDL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Condițiile de mai jos sunt prezentate într-o formă consolidată, fiind deja analizate, integral sau parțial, în secțiunea anterioară a ghidului – Condiții generale de eligibilitate. Reiterarea lor are scopul de a evidenția cerințele comune aplicabile tuturor măsurilor din SDL. În cazul în care, în etapa anterioară, nu a fost posibilă verificarea uneia sau mai multora dintre aceste condiții, acestea vor fi analizate și verificate în cadrul prezentei secțiuni.5.1 Solicitantul trebuie să se încadreze în categoria beneficiariloreligibili;5.2 Solicitantul nu trebuie să fie în insolvență sau incapacitate de plată;5.3 Investiția trebuie să fie în corelare cu orice strategie de dezvoltare naţională / regională / județeană / locală aprobată, corespunzătoare domeniului de investiţii;5.4 Solicitantul trebuie sa demonstreze necesitatea realizarii investitiei;5.5 Investiția să se realizeze în teritoriul acoperit de GAL Podu Inalt Vaslui;5.6 Solicitantul trebuie să demonstreze asigurarea cofinanțării investiției in etapa de contractare (daca este cazul);5.7 Investiția va respecta prevederile legislației naționale în vigoare aplicabilă proiectului.</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Încurajarea inovației în proiect și integrarea componentelor care promovează sustenabilitatea pe termen lung;</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w:hAnsi="Cambria"/>
                <w:b w:val="false"/>
                <w:color w:val="58400C"/>
                <w:sz w:val="24"/>
              </w:rPr>
              <w:t>Integrarea unei soluții inovatoare sau îmbunătățite față de practica locală.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Metodologia de verificare si documente obligatorii:Se acordă punctaj dacă proiectul propune o soluție nouă, diferită sau semnificativ îmbunătățită față de ce există deja în comuna sau în teritoriul GAL.In functie de zona de implementare, se pot puncta ca soluții inovatoare (fără a se limita la):</w:t>
            </w:r>
          </w:p>
          <w:p>
            <w:pPr>
              <w:pStyle w:val="ListParagraph"/>
              <w:numPr>
                <w:ilvl w:val="0"/>
                <w:numId w:val="2"/>
              </w:numPr>
            </w:pPr>
            <w:r>
              <w:rPr>
                <w:rFonts w:ascii="Cambria" w:hAnsi="Cambria"/>
                <w:b w:val="false"/>
                <w:sz w:val="24"/>
              </w:rPr>
              <w:t>dotări sau utilaje care aduc funcționalități noi față de cele existente local sau clasice;</w:t>
            </w:r>
          </w:p>
          <w:p>
            <w:pPr>
              <w:pStyle w:val="ListParagraph"/>
              <w:numPr>
                <w:ilvl w:val="0"/>
                <w:numId w:val="2"/>
              </w:numPr>
            </w:pPr>
            <w:r>
              <w:rPr>
                <w:rFonts w:ascii="Cambria" w:hAnsi="Cambria"/>
                <w:b w:val="false"/>
                <w:sz w:val="24"/>
              </w:rPr>
              <w:t>combinarea creativă a unor echipamente pentru un rezultat eficient;</w:t>
            </w:r>
          </w:p>
          <w:p>
            <w:pPr>
              <w:pStyle w:val="ListParagraph"/>
              <w:numPr>
                <w:ilvl w:val="0"/>
                <w:numId w:val="2"/>
              </w:numPr>
            </w:pPr>
            <w:r>
              <w:rPr>
                <w:rFonts w:ascii="Cambria" w:hAnsi="Cambria"/>
                <w:b w:val="false"/>
                <w:sz w:val="24"/>
              </w:rPr>
              <w:t>introducerea unei tehnologii folosite rar în zona rurală;</w:t>
            </w:r>
          </w:p>
          <w:p>
            <w:pPr>
              <w:pStyle w:val="ListParagraph"/>
              <w:numPr>
                <w:ilvl w:val="0"/>
                <w:numId w:val="2"/>
              </w:numPr>
            </w:pPr>
            <w:r>
              <w:rPr>
                <w:rFonts w:ascii="Cambria" w:hAnsi="Cambria"/>
                <w:b w:val="false"/>
                <w:sz w:val="24"/>
              </w:rPr>
              <w:t>metode de lucru automatizate sau digitale care simplifică activitățile;</w:t>
            </w:r>
          </w:p>
          <w:p>
            <w:pPr>
              <w:pStyle w:val="ListParagraph"/>
              <w:numPr>
                <w:ilvl w:val="0"/>
                <w:numId w:val="2"/>
              </w:numPr>
            </w:pPr>
            <w:r>
              <w:rPr>
                <w:rFonts w:ascii="Cambria" w:hAnsi="Cambria"/>
                <w:b w:val="false"/>
                <w:sz w:val="24"/>
              </w:rPr>
              <w:t>digitalizarea serviciilor culturale sau educaționale, prin echipamente interactive, ghidaj audio/video, realitate augmentată etc;</w:t>
            </w:r>
          </w:p>
          <w:p>
            <w:pPr>
              <w:pStyle w:val="ListParagraph"/>
              <w:numPr>
                <w:ilvl w:val="0"/>
                <w:numId w:val="3"/>
              </w:numPr>
            </w:pPr>
            <w:r>
              <w:rPr>
                <w:rFonts w:ascii="Cambria" w:hAnsi="Cambria"/>
                <w:b w:val="false"/>
                <w:sz w:val="24"/>
              </w:rPr>
              <w:t>integrarea funcțiilor educative, inclusive sau verzi în proiecte standard (ex: parc tematic, teren de sport cu acces pentru persoane cu dizabilități, iluminat solar, spații multifuncționale).</w:t>
            </w:r>
          </w:p>
          <w:p>
            <w:r>
              <w:rPr>
                <w:rFonts w:ascii="Cambria" w:hAnsi="Cambria"/>
                <w:b w:val="false"/>
                <w:sz w:val="24"/>
              </w:rPr>
              <w:t>Solicitantul trebuie să descrie in Anexa 7 la Ghid:</w:t>
            </w:r>
          </w:p>
          <w:p>
            <w:pPr>
              <w:pStyle w:val="ListParagraph"/>
              <w:numPr>
                <w:ilvl w:val="0"/>
                <w:numId w:val="4"/>
              </w:numPr>
            </w:pPr>
            <w:r>
              <w:rPr>
                <w:rFonts w:ascii="Cambria" w:hAnsi="Cambria"/>
                <w:b w:val="false"/>
                <w:sz w:val="24"/>
              </w:rPr>
              <w:t>ce este nou/diferit față de ce există deja în comunitate,</w:t>
            </w:r>
          </w:p>
          <w:p>
            <w:pPr>
              <w:pStyle w:val="ListParagraph"/>
              <w:numPr>
                <w:ilvl w:val="0"/>
                <w:numId w:val="4"/>
              </w:numPr>
            </w:pPr>
            <w:r>
              <w:rPr>
                <w:rFonts w:ascii="Cambria" w:hAnsi="Cambria"/>
                <w:b w:val="false"/>
                <w:sz w:val="24"/>
              </w:rPr>
              <w:t>de ce consideră soluția inovatoare,</w:t>
            </w:r>
          </w:p>
          <w:p>
            <w:pPr>
              <w:pStyle w:val="ListParagraph"/>
              <w:numPr>
                <w:ilvl w:val="0"/>
                <w:numId w:val="4"/>
              </w:numPr>
            </w:pPr>
            <w:r>
              <w:rPr>
                <w:rFonts w:ascii="Cambria" w:hAnsi="Cambria"/>
                <w:b w:val="false"/>
                <w:sz w:val="24"/>
              </w:rPr>
              <w:t>ce avantaj aduce în practică (eficiență, calitate, accesibilitate).</w:t>
            </w:r>
          </w:p>
          <w:p>
            <w:r>
              <w:rPr>
                <w:rFonts w:ascii="Cambria" w:hAnsi="Cambria"/>
                <w:b w:val="false"/>
                <w:sz w:val="24"/>
              </w:rPr>
              <w:t>Acest criteriu se cumuleaza cu CS 1.2.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w:t>
            </w:r>
          </w:p>
        </w:tc>
        <w:tc>
          <w:tcPr>
            <w:shd w:val="clear" w:color="auto" w:fill="F8ECD2"/>
            <w:vAlign w:val="center"/>
          </w:tcPr>
          <w:p>
            <w:r>
              <w:rPr>
                <w:rFonts w:ascii="Cambria" w:hAnsi="Cambria"/>
                <w:b w:val="false"/>
                <w:color w:val="58400C"/>
                <w:sz w:val="24"/>
              </w:rPr>
              <w:t>Reducerea consumului de resurse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Metodologia de verificare si documente obligatorii:Se acordă punctaj dacă proiectul include măsuri, dotări sau soluții care contribuie în mod direct la reducerea consumului de resurse în etapa de funcționare investiției.Resursele vizate pot include (fără a se limita la):</w:t>
            </w:r>
          </w:p>
          <w:p>
            <w:pPr>
              <w:pStyle w:val="ListParagraph"/>
              <w:numPr>
                <w:ilvl w:val="0"/>
                <w:numId w:val="2"/>
              </w:numPr>
            </w:pPr>
            <w:r>
              <w:rPr>
                <w:rFonts w:ascii="Cambria" w:hAnsi="Cambria"/>
                <w:b w:val="false"/>
                <w:sz w:val="24"/>
              </w:rPr>
              <w:t>energie electrică sau termică,</w:t>
            </w:r>
          </w:p>
          <w:p>
            <w:pPr>
              <w:pStyle w:val="ListParagraph"/>
              <w:numPr>
                <w:ilvl w:val="0"/>
                <w:numId w:val="2"/>
              </w:numPr>
            </w:pPr>
            <w:r>
              <w:rPr>
                <w:rFonts w:ascii="Cambria" w:hAnsi="Cambria"/>
                <w:b w:val="false"/>
                <w:sz w:val="24"/>
              </w:rPr>
              <w:t>apă,</w:t>
            </w:r>
          </w:p>
          <w:p>
            <w:pPr>
              <w:pStyle w:val="ListParagraph"/>
              <w:numPr>
                <w:ilvl w:val="0"/>
                <w:numId w:val="2"/>
              </w:numPr>
            </w:pPr>
            <w:r>
              <w:rPr>
                <w:rFonts w:ascii="Cambria" w:hAnsi="Cambria"/>
                <w:b w:val="false"/>
                <w:sz w:val="24"/>
              </w:rPr>
              <w:t>combustibil,</w:t>
            </w:r>
          </w:p>
          <w:p>
            <w:pPr>
              <w:pStyle w:val="ListParagraph"/>
              <w:numPr>
                <w:ilvl w:val="0"/>
                <w:numId w:val="2"/>
              </w:numPr>
            </w:pPr>
            <w:r>
              <w:rPr>
                <w:rFonts w:ascii="Cambria" w:hAnsi="Cambria"/>
                <w:b w:val="false"/>
                <w:sz w:val="24"/>
              </w:rPr>
              <w:t>materiale (hârtie, ambalaje, consumabile),</w:t>
            </w:r>
          </w:p>
          <w:p>
            <w:pPr>
              <w:pStyle w:val="ListParagraph"/>
              <w:numPr>
                <w:ilvl w:val="0"/>
                <w:numId w:val="2"/>
              </w:numPr>
            </w:pPr>
            <w:r>
              <w:rPr>
                <w:rFonts w:ascii="Cambria" w:hAnsi="Cambria"/>
                <w:b w:val="false"/>
                <w:sz w:val="24"/>
              </w:rPr>
              <w:t>timp de operare, forță de muncă (dacă automatizarea duce la reducerea resurselor umane implicate).</w:t>
            </w:r>
          </w:p>
          <w:p>
            <w:r>
              <w:rPr>
                <w:rFonts w:ascii="Cambria" w:hAnsi="Cambria"/>
                <w:b w:val="false"/>
                <w:sz w:val="24"/>
              </w:rPr>
              <w:t>Se verifica in Anexa 7 la Ghid daca este descrisa modalitatea de reducere a consumului de resurse.Acest criteriu se cumuleaza cu CS 1.1.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Integrarea componentelor care promovează și conservă identitatea culturală locală în proiect;</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Valorificarea patrimoniului cultural material local.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acordă punctaj dacă proiectul vizeaza constructia, conservarea, restaurarea sau punerea în valoare a unor elemente din patrimoniul local, monumente sau obiective protejate.</w:t>
            </w:r>
          </w:p>
          <w:p>
            <w:pPr>
              <w:pStyle w:val="ListParagraph"/>
              <w:numPr>
                <w:ilvl w:val="0"/>
                <w:numId w:val="2"/>
              </w:numPr>
            </w:pPr>
            <w:r>
              <w:rPr>
                <w:rFonts w:ascii="Cambria" w:hAnsi="Cambria"/>
                <w:b w:val="false"/>
                <w:sz w:val="24"/>
              </w:rPr>
              <w:t>Se verifica in Anexa 7 la Ghid daca este prezentata modalitatea de utilizare culturală a investiției;</w:t>
            </w:r>
          </w:p>
          <w:p>
            <w:pPr>
              <w:spacing w:line="360" w:lineRule="auto"/>
              <w:ind w:left="0" w:right="0" w:firstLine="493"/>
            </w:pPr>
            <w:r>
              <w:rPr>
                <w:rFonts w:ascii="Cambria" w:hAnsi="Cambria"/>
                <w:b w:val="false"/>
                <w:sz w:val="24"/>
              </w:rPr>
              <w:t>Acest criteriu se cumuleaza cu CS 2.2.</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w:t>
            </w:r>
          </w:p>
        </w:tc>
        <w:tc>
          <w:tcPr>
            <w:shd w:val="clear" w:color="auto" w:fill="F8ECD2"/>
            <w:vAlign w:val="center"/>
          </w:tcPr>
          <w:p>
            <w:r>
              <w:rPr>
                <w:rFonts w:ascii="Cambria" w:hAnsi="Cambria"/>
                <w:b w:val="false"/>
                <w:color w:val="58400C"/>
                <w:sz w:val="24"/>
              </w:rPr>
              <w:t>Promovarea patrimoniului cultural imaterial (tradiții, meșteșuguri, obiceiuri)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Metodologia de verificare si documente obligatorii:Contribuția la educația și conștientizarea publicului cu privire la identitatea culturală locală.Se punctează dacă proiectul include activitati educaționale, expoziții, publicatii sau alte forme de diseminare culturală.Se verifica in Anexa 7 la Ghid daca este prevazuta realizarea a cel putin o activitate din categoria celor enumerate anterior.Pana la depunerea cererii de plata finale, se prezinta documente justificative (un raport al activitatii si fotografiirelevante).Acest criteriu se cumuleaza cu CS 2.1.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Imbunătățirea accesului: gradul în care proiectul poate îmbunătăți accesul la serviciile publice esențiale pentru comunitate;</w:t>
            </w:r>
          </w:p>
        </w:tc>
        <w:tc>
          <w:tcPr>
            <w:shd w:val="clear" w:color="auto" w:fill="CCE1DB"/>
            <w:vAlign w:val="center"/>
          </w:tcPr>
          <w:p>
            <w:pPr>
              <w:spacing w:line="360" w:lineRule="auto"/>
              <w:ind w:left="0" w:right="0" w:firstLine="493"/>
            </w:pPr>
            <w:r>
              <w:rPr>
                <w:rFonts w:ascii="Cambria Bold" w:hAnsi="Cambria Bold"/>
                <w:b/>
                <w:color w:val="014935"/>
                <w:sz w:val="24"/>
              </w:rPr>
              <w:t>35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C3.1</w:t>
            </w:r>
          </w:p>
        </w:tc>
        <w:tc>
          <w:tcPr>
            <w:shd w:val="clear" w:color="auto" w:fill="F8ECD2"/>
            <w:vAlign w:val="center"/>
          </w:tcPr>
          <w:p>
            <w:r>
              <w:rPr>
                <w:rFonts w:ascii="Cambria" w:hAnsi="Cambria"/>
                <w:b w:val="false"/>
                <w:color w:val="58400C"/>
                <w:sz w:val="24"/>
              </w:rPr>
              <w:t>Relevanța față de nevoile prioritare ale comunității si gradul de acoperire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Metodologia de verificare si documente obligatorii:Va fi completata Anexa 7 la Ghid pentru justificarea modalitatii de indeplinire si vor fi atasate documente justificative dupa caz.Solicitantul trebuie să mentioneze trei nevoi prioritare ale comunității, la nivel de:</w:t>
            </w:r>
          </w:p>
          <w:p>
            <w:pPr>
              <w:pStyle w:val="ListParagraph"/>
              <w:numPr>
                <w:ilvl w:val="0"/>
                <w:numId w:val="2"/>
              </w:numPr>
            </w:pPr>
            <w:r>
              <w:rPr>
                <w:rFonts w:ascii="Cambria" w:hAnsi="Cambria"/>
                <w:b w:val="false"/>
                <w:sz w:val="24"/>
              </w:rPr>
              <w:t>comună (dacă proiectul genereaza servicii publice cu impact clar pentru comunitatea dintr-o unitate administrativteritorială)</w:t>
            </w:r>
          </w:p>
          <w:p>
            <w:r>
              <w:rPr>
                <w:rFonts w:ascii="Cambria" w:hAnsi="Cambria"/>
                <w:b w:val="false"/>
                <w:sz w:val="24"/>
              </w:rPr>
              <w:t>SAU</w:t>
            </w:r>
          </w:p>
          <w:p>
            <w:pPr>
              <w:pStyle w:val="ListParagraph"/>
              <w:numPr>
                <w:ilvl w:val="0"/>
                <w:numId w:val="5"/>
              </w:numPr>
            </w:pPr>
            <w:r>
              <w:rPr>
                <w:rFonts w:ascii="Cambria" w:hAnsi="Cambria"/>
                <w:b w:val="false"/>
                <w:sz w:val="24"/>
              </w:rPr>
              <w:t>intercomunitar (dacă proiectul are impact asupra comunitatii din cel putin 2 comune membre GAL Podu Inalt).</w:t>
            </w:r>
          </w:p>
          <w:p>
            <w:r>
              <w:rPr>
                <w:rFonts w:ascii="Cambria" w:hAnsi="Cambria"/>
                <w:b w:val="false"/>
                <w:sz w:val="24"/>
              </w:rPr>
              <w:t>Pentru fiecare nevoie se vor menționa:</w:t>
            </w:r>
          </w:p>
          <w:p>
            <w:pPr>
              <w:pStyle w:val="ListParagraph"/>
              <w:numPr>
                <w:ilvl w:val="0"/>
                <w:numId w:val="6"/>
              </w:numPr>
            </w:pPr>
            <w:r>
              <w:rPr>
                <w:rFonts w:ascii="Cambria" w:hAnsi="Cambria"/>
                <w:b w:val="false"/>
                <w:sz w:val="24"/>
              </w:rPr>
              <w:t>contextul local (ce lipsește / ce este insuficient),</w:t>
            </w:r>
          </w:p>
          <w:p>
            <w:pPr>
              <w:pStyle w:val="ListParagraph"/>
              <w:numPr>
                <w:ilvl w:val="0"/>
                <w:numId w:val="6"/>
              </w:numPr>
            </w:pPr>
            <w:r>
              <w:rPr>
                <w:rFonts w:ascii="Cambria" w:hAnsi="Cambria"/>
                <w:b w:val="false"/>
                <w:sz w:val="24"/>
              </w:rPr>
              <w:t>categoriile de populație implicate (număr de beneficiari directi, indirecti, vârstnici, copii, etc.)</w:t>
            </w:r>
          </w:p>
          <w:p>
            <w:r>
              <w:rPr>
                <w:rFonts w:ascii="Cambria" w:hAnsi="Cambria"/>
                <w:b w:val="false"/>
                <w:sz w:val="24"/>
              </w:rPr>
              <w:t>consecințele actuale ale lipsei acelui serviciu</w:t>
            </w:r>
          </w:p>
          <w:p>
            <w:pPr>
              <w:pStyle w:val="ListParagraph"/>
              <w:numPr>
                <w:ilvl w:val="0"/>
                <w:numId w:val="7"/>
              </w:numPr>
            </w:pPr>
            <w:r>
              <w:rPr>
                <w:rFonts w:ascii="Cambria" w:hAnsi="Cambria"/>
                <w:b w:val="false"/>
                <w:sz w:val="24"/>
              </w:rPr>
              <w:t>daca exista in prezent o solutie in implementare/implementata</w:t>
            </w:r>
          </w:p>
          <w:p>
            <w:r>
              <w:rPr>
                <w:rFonts w:ascii="Cambria" w:hAnsi="Cambria"/>
                <w:b w:val="false"/>
                <w:sz w:val="24"/>
              </w:rPr>
              <w:t>Ulterior, solicitantul trebuie să justifice clar, de ce nevoia asupra careia se intervine prin prezentul proiect are prioritate față de celelalte doua nevoi.Se analizează dacă proiectul a fost conceput pe baza unor nevoi reale și bine documentate ale comunității.Se punctează calitatea și completitudinea justificării, conform cerințelor.Punctajul maxim care poate fi obtinut la acest criteriu este de 20 puncte. Acest criteriu poate avea valori intermediare (5, 10, 15), conform depunctarilor posibile, mentionate in Anexa 7 la Ghid. Nu se acorda punctaj daca nu se identifică nicio nevoie sau formularea este irelevantă/fără legătură cu comunitatea.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C3.2</w:t>
            </w:r>
          </w:p>
        </w:tc>
        <w:tc>
          <w:tcPr>
            <w:shd w:val="clear" w:color="auto" w:fill="F8ECD2"/>
            <w:vAlign w:val="center"/>
          </w:tcPr>
          <w:p>
            <w:r>
              <w:rPr>
                <w:rFonts w:ascii="Cambria" w:hAnsi="Cambria"/>
                <w:b w:val="false"/>
                <w:color w:val="58400C"/>
                <w:sz w:val="24"/>
              </w:rPr>
              <w:t>Impact extins al proiectului</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Metodologia de verificare si documente obligatorii:Se puncteaza cu 15 puncte daca proiectul are impact asupra comunitatii din cel putin 2 comune membre GAL PoduInalt, conform justificarii realizate in cadrul criteriului CS 3.1.Daca din justificarea existenta in cadrul CS 3.1 nu reiese clar care este impactul, nu se puncteaza acest criteriu.Acest criteriu se cumuleaza cu CS 3.1.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Principiul populației deservite de proiect.</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r>
              <w:rPr>
                <w:rFonts w:ascii="Cambria" w:hAnsi="Cambria"/>
                <w:b w:val="false"/>
                <w:color w:val="58400C"/>
                <w:sz w:val="24"/>
              </w:rPr>
              <w:t>Proiecte cu impact asupra a minim 7% din populatia teritoriului GAL Podu Inalt.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Metodologia de verificare si documente obligatorii:Acest criteriu se puncteaza conform optiunii selectate la criteriul CS 3.1, astfel:</w:t>
            </w:r>
          </w:p>
          <w:p>
            <w:pPr>
              <w:pStyle w:val="ListParagraph"/>
              <w:numPr>
                <w:ilvl w:val="0"/>
                <w:numId w:val="2"/>
              </w:numPr>
            </w:pPr>
            <w:r>
              <w:rPr>
                <w:rFonts w:ascii="Cambria" w:hAnsi="Cambria"/>
                <w:b w:val="false"/>
                <w:sz w:val="24"/>
              </w:rPr>
              <w:t>În Anexa 7 la Ghid se identifică comuna sau comunele in care investiția propusă are impact clar, conform justificării furnizate de solicitant pentru criteriul CS 3.1;</w:t>
            </w:r>
          </w:p>
          <w:p>
            <w:pPr>
              <w:pStyle w:val="ListParagraph"/>
              <w:numPr>
                <w:ilvl w:val="0"/>
                <w:numId w:val="8"/>
              </w:numPr>
            </w:pPr>
            <w:r>
              <w:rPr>
                <w:rFonts w:ascii="Cambria" w:hAnsi="Cambria"/>
                <w:b w:val="false"/>
                <w:sz w:val="24"/>
              </w:rPr>
              <w:t>Pentru o comuna, populatia este egala cu suma valorii inscrise in dreptul comunei respective;</w:t>
            </w:r>
          </w:p>
          <w:p>
            <w:pPr>
              <w:pStyle w:val="ListParagraph"/>
              <w:numPr>
                <w:ilvl w:val="0"/>
                <w:numId w:val="8"/>
              </w:numPr>
            </w:pPr>
            <w:r>
              <w:rPr>
                <w:rFonts w:ascii="Cambria" w:hAnsi="Cambria"/>
                <w:b w:val="false"/>
                <w:sz w:val="24"/>
              </w:rPr>
              <w:t>Pentru mai multe comune, populatia este egala cu suma valorilor inscrise in dreptul comunelor respective.</w:t>
            </w:r>
          </w:p>
          <w:p>
            <w:pPr>
              <w:pStyle w:val="ListParagraph"/>
              <w:numPr>
                <w:ilvl w:val="0"/>
                <w:numId w:val="8"/>
              </w:numPr>
            </w:pPr>
            <w:r>
              <w:rPr>
                <w:rFonts w:ascii="Cambria" w:hAnsi="Cambria"/>
                <w:b w:val="false"/>
                <w:sz w:val="24"/>
              </w:rPr>
              <w:t>Se calculează procentul populației deservite din totalul populației GAL Podu Înalt:</w:t>
            </w:r>
          </w:p>
          <w:p>
            <w:r>
              <w:rPr>
                <w:rFonts w:ascii="Cambria" w:hAnsi="Cambria"/>
                <w:b w:val="false"/>
                <w:sz w:val="24"/>
              </w:rPr>
              <w:t>Procent populație deservita =Populația comunei sau a comunelor vizate / Populația totala GAL Podu Inalt * 100.Valoarea procentuală se calculează cu două zecimale și se rotunjește conform regulii matematice standard. (Exemplu: 12,514 → 12,51; 12,515 → 12,52). In situatia in care procentul populatiei deservite este mai mare sau egal cu 7%, se acorda 10 puncte.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1 </w:t>
            </w:r>
          </w:p>
        </w:tc>
        <w:tc>
          <w:tcPr>
            <w:shd w:val="clear" w:color="auto" w:fill="F8ECD2"/>
            <w:vAlign w:val="center"/>
          </w:tcPr>
          <w:p>
            <w:r>
              <w:rPr>
                <w:rFonts w:ascii="Cambria" w:hAnsi="Cambria"/>
                <w:b w:val="false"/>
                <w:color w:val="58400C"/>
                <w:sz w:val="24"/>
              </w:rPr>
              <w:t>Distribuirea echilibrată afondurilor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Are prioritate solicitantul care nu a depus o cerere de finantare in cadrul Intervenției nr. 5 - Sprijin pentru servicii sociale și medicale (PNS 2027).Verificarea se realizează la momentul întocmirii Fișei de evaluare șiselecție, prin consultarea bazei de date interne a proiectelor depuse in apeluri active sau închise lansate de GAL.Acest criteriu urmărește asigurarea unei participări echitabile lafinanțare, permițând accesul unui număr cât mai mare de solicitanți, în special în cadrul primelor apeluri de selecție aferente intervențiilor 4 și 5.În cadrul acestui criteriu de departajare, analiza se realizează la nivel de unitate administrativ-teritorială (comună).Astfel, dacă din aceeași comună sunt depuse proiecte de către douăentități publice distincte (de exemplu, Comuna și o alta instituție publică de interes local), se va considera că respectiva UAT a depus două proiecte pe cele două intervenții (Intervenția 4 și Intervenția 5) caz in care proiectul depus pentru prezentul apel nu va beneficia de prioritate în cadrul criteriului de departajare care vizează promovarea distribuirii echilibrate a fondurilor.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 </w:t>
            </w:r>
          </w:p>
        </w:tc>
        <w:tc>
          <w:tcPr>
            <w:shd w:val="clear" w:color="auto" w:fill="F8ECD2"/>
            <w:vAlign w:val="center"/>
          </w:tcPr>
          <w:p>
            <w:r>
              <w:rPr>
                <w:rFonts w:ascii="Cambria" w:hAnsi="Cambria"/>
                <w:b w:val="false"/>
                <w:color w:val="58400C"/>
                <w:sz w:val="24"/>
              </w:rPr>
              <w:t>Numarul de comune membre inGAL, asupra carora are impactproiectul.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preia numarul de comune membre in GAL, asupra carora are impactproiectul, conform mentiunilor din Anexa 7 la Ghid completata de catresolicitant pentru criteriul de selectie CS 3.1. Au prioritate proiectele carevizeaza un numar mai mare de comune, in ordine descrescatoare.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 </w:t>
            </w:r>
          </w:p>
        </w:tc>
        <w:tc>
          <w:tcPr>
            <w:shd w:val="clear" w:color="auto" w:fill="F8ECD2"/>
            <w:vAlign w:val="center"/>
          </w:tcPr>
          <w:p>
            <w:r>
              <w:rPr>
                <w:rFonts w:ascii="Cambria" w:hAnsi="Cambria"/>
                <w:b w:val="false"/>
                <w:color w:val="58400C"/>
                <w:sz w:val="24"/>
              </w:rPr>
              <w:t>Valoarea eligibila a proiectului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Au prioritate proiectele a caror valoare eligibila este mai mica, in ordinecrescatoare.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4 </w:t>
            </w:r>
          </w:p>
        </w:tc>
        <w:tc>
          <w:tcPr>
            <w:shd w:val="clear" w:color="auto" w:fill="F8ECD2"/>
            <w:vAlign w:val="center"/>
          </w:tcPr>
          <w:p>
            <w:r>
              <w:rPr>
                <w:rFonts w:ascii="Cambria" w:hAnsi="Cambria"/>
                <w:b w:val="false"/>
                <w:color w:val="58400C"/>
                <w:sz w:val="24"/>
              </w:rPr>
              <w:t>Valoarea procentului populatieideservite de proiect.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calculeaza procentul populatiei deservite de proiect conform formulei de la criteriul de selectie 4.1. Au prioritate proiectele a caror valoare este mai mare, in ordine descrescatoare.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5 </w:t>
            </w:r>
          </w:p>
        </w:tc>
        <w:tc>
          <w:tcPr>
            <w:shd w:val="clear" w:color="auto" w:fill="F8ECD2"/>
            <w:vAlign w:val="center"/>
          </w:tcPr>
          <w:p>
            <w:r>
              <w:rPr>
                <w:rFonts w:ascii="Cambria" w:hAnsi="Cambria"/>
                <w:b w:val="false"/>
                <w:color w:val="58400C"/>
                <w:sz w:val="24"/>
              </w:rPr>
              <w:t>Data si ora depunerii proiectului.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verifica data si ora depunerii (transmiterii) proiectului în sistemulelectronic de depunere (platforma online indicată în Ghidul solicitantului) sau, după caz, data și ora înscrise pe dovada de înregistrare.Proiectele se departajează în funcție de ordinea cronologică a depunerii, având prioritate proiectele transmise cel mai devreme, conform datei și orei înregistrate în sistemul de depunere.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numbering.xml><?xml version="1.0" encoding="utf-8"?>
<w:numbering xmlns:w="http://schemas.openxmlformats.org/wordprocessingml/2006/main">
  <w:abstractNum w:abstractNumId="1">
    <w:multiLevelType w:val="hybridMultilevel"/>
    <w:name w:val="dis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ListParagraph">
    <w:name w:val="List Paragraph"/>
    <w:next w:val="List Paragraph"/>
    <w:pPr>
      <w:keepNext w:val="0"/>
      <w:keepLines w:val="0"/>
      <w:spacing w:before="0" w:after="0" w:line="240" w:lineRule="auto"/>
      <w:ind w:start="720" w:end="0" w:firstLine="0"/>
      <w:contextualSpacing/>
    </w:pPr>
  </w:style>
</w:styles>
</file>

<file path=word/_rels/document.xml.rels>&#65279;<?xml version="1.0" encoding="utf-8"?><Relationships xmlns="http://schemas.openxmlformats.org/package/2006/relationships"><Relationship Type="http://schemas.openxmlformats.org/officeDocument/2006/relationships/styles" Target="/word/styles.xml" Id="R1a32d946a4c945a4" /><Relationship Type="http://schemas.openxmlformats.org/officeDocument/2006/relationships/numbering" Target="/word/numbering.xml" Id="R1fa411fbdfc748df" /></Relationships>
</file>