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552a6758c86247dc"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113</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Podu Inalt Vaslui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Sprijin pentru servicii sociale si medicale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Solicitantul trebuie sa faca parte din categoria beneficiarilor eligibili;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Se verifica documentele care atesta incadrarea in categoria beneficiarilor eligibili.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trebuie sa faca dovada proprietatii/administrarii terenului/bunului pe care se realizeaza investitia;</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Se verifica Studiul de Fezabilitate/Memoriu justificativ/Cererea de finantare;</w:t>
            </w:r>
          </w:p>
          <w:p>
            <w:pPr>
              <w:pStyle w:val="ListParagraph"/>
              <w:numPr>
                <w:ilvl w:val="0"/>
                <w:numId w:val="2"/>
              </w:numPr>
            </w:pPr>
            <w:r>
              <w:rPr>
                <w:rFonts w:ascii="Cambria" w:hAnsi="Cambria"/>
                <w:b w:val="false"/>
                <w:sz w:val="24"/>
              </w:rPr>
              <w:t>Inventarul bunurilor ce apartin domeniului public al comunei/comunelor, intcomit conform legislatiei in vigoare privind proprietatea publica si regimul juridic al acesteia, atestat prin Hotarare a Guvernului si publicat in Monitorul Oficial al Romaniei</w:t>
            </w:r>
          </w:p>
          <w:p>
            <w:pPr>
              <w:spacing w:line="360" w:lineRule="auto"/>
              <w:ind w:left="0" w:right="0" w:firstLine="493"/>
            </w:pPr>
            <w:r>
              <w:rPr>
                <w:rFonts w:ascii="Cambria" w:hAnsi="Cambria"/>
                <w:b w:val="false"/>
                <w:sz w:val="24"/>
              </w:rPr>
              <w:t>si</w:t>
            </w:r>
          </w:p>
          <w:p>
            <w:pPr>
              <w:pStyle w:val="ListParagraph"/>
              <w:numPr>
                <w:ilvl w:val="0"/>
                <w:numId w:val="3"/>
              </w:numPr>
            </w:pPr>
            <w:r>
              <w:rPr>
                <w:rFonts w:ascii="Cambria" w:hAnsi="Cambria"/>
                <w:b w:val="false"/>
                <w:sz w:val="24"/>
              </w:rPr>
              <w:t>Hotararea Consiliului Local privind aprobarea modificarilor si/sau completarilor la inventar in sensul includerii in domeniul public a altor bunuri (supusa controlului de legalitate al Prefectului, in conditiile legii)</w:t>
            </w:r>
          </w:p>
          <w:p>
            <w:pPr>
              <w:spacing w:line="360" w:lineRule="auto"/>
              <w:ind w:left="0" w:right="0" w:firstLine="493"/>
            </w:pPr>
            <w:r>
              <w:rPr>
                <w:rFonts w:ascii="Cambria" w:hAnsi="Cambria"/>
                <w:b w:val="false"/>
                <w:sz w:val="24"/>
              </w:rPr>
              <w:t>si</w:t>
            </w:r>
          </w:p>
          <w:p>
            <w:pPr>
              <w:pStyle w:val="ListParagraph"/>
              <w:numPr>
                <w:ilvl w:val="0"/>
                <w:numId w:val="4"/>
              </w:numPr>
            </w:pPr>
            <w:r>
              <w:rPr>
                <w:rFonts w:ascii="Cambria" w:hAnsi="Cambria"/>
                <w:b w:val="false"/>
                <w:sz w:val="24"/>
              </w:rPr>
              <w:t>Documente doveditoare de catre ONG-uri /Unitati de cult/etc privind dreptul de proprietate/administrare pe o perioada de 10 ani, asupra bunurilor imobile la care se vor efectua lucrari/dotari, conform cererii de finantare;</w:t>
            </w:r>
          </w:p>
          <w:p>
            <w:pPr>
              <w:pStyle w:val="ListParagraph"/>
              <w:numPr>
                <w:ilvl w:val="0"/>
                <w:numId w:val="4"/>
              </w:numPr>
            </w:pPr>
            <w:r>
              <w:rPr>
                <w:rFonts w:ascii="Cambria" w:hAnsi="Cambria"/>
                <w:b w:val="false"/>
                <w:sz w:val="24"/>
              </w:rPr>
              <w:t>Documente doveditoare a dreptului de proprietate/administrare pe o perioada de minimum 10 ani asupra bunurilor imobile care fac obiectul realizarii invetsitiei propuse(pentru solicitanti cu forme de organizare care nu au fost mentionate).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Solicitantul demonstreaza necesitatea realizarii proiectului;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Hotărârea Consiliului Local pentru implementarea proiectului, cureferire la următoarele puncte obligatorii (în cazul solicitanţilor publici):• necesitatea şi oportunitatea investiţiei;• lucrările sunt prevăzute în bugetul/bugetele local/e pentru perioada derealizare a investiţiei;• angajamentul de a suporta cheltuielile de întreţinere şi / sau reparare ainvestiţiei pe o perioadă de minimum 5 ani de la data efectuării ultimei plăți;• caracteristici tehnice (lungimi, arii, volume, capacităţi etc.)• nominalizarea reprezentantului legal al comunei pentru relaţia cu AFIR în derularea proiectului• angajamentul că proiectul nu va fi generator de venitSauHotărârea Adunării Generale pentru implementarea proiectuluispecific fiecărei categorii de solicitanți cu referire la însuşirea / aprobarea de către ONG, Unitate de cult, Persoană fizică autorizată / Societate Comercială a următoarelor (condiții obligatorii):• necesitatea şi oportunitatea investiţiei;• lucrările sunt prevăzute în bugetul solicitantului pentru perioada de realizare a investiţiei;• angajamentul de a suporta cheltuielile de întreţinere şi / sau reparare a investiţiei pe o perioadă de minimum 5 ani de la data efectuării ultimei plăți;• caracteristici tehnice investiției / investițiilor propuse (lungimi, arii, volume, capacităţi etc.);• nominalizarea reprezentantului legal al solicitantului pentru relaţia cu AFIR în derularea proiectului• angajamentul că proiectul nu va fi generator de venit</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Proiectul trebuie sa includa cel putin o campanie locala de constientizare sociala/ medicala care sa vizeze probleme sociale/medicale specifice;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Se verifica in Studiu de Fezabilitate/Memoriu Justificativ/Cerere de Finantare daca este descrisa cel putin o activitate denumita si identificata drept "campanie de constientizare".  Aceasta trebuie sa aiba o tema clara (sociala si/sau medicala) si sa fie adresata comunitatii locale. Se verifica daca publicul tinta este definit, daca campania abordeaza in mod clar si explicit o problema sociala si/sau medicala specifica din comunitatea-tinta,  se analizeaza locul desfasurarii activitatii si relevanta sa pentru comunitatea vizata.</w:t>
            </w:r>
          </w:p>
          <w:p>
            <w:pPr>
              <w:spacing w:line="360" w:lineRule="auto"/>
              <w:ind w:left="0" w:right="0" w:firstLine="493"/>
            </w:pPr>
            <w:r>
              <w:rPr>
                <w:rFonts w:ascii="Cambria" w:hAnsi="Cambria"/>
                <w:b w:val="false"/>
                <w:sz w:val="24"/>
              </w:rPr>
              <w:t>Pana la depunerea cererii de plata finale, se prezinta documente justificative (un raport al activitatii si fotografii relevante).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  </w:t>
            </w:r>
          </w:p>
        </w:tc>
        <w:tc>
          <w:tcPr>
            <w:vAlign w:val="center"/>
          </w:tcPr>
          <w:p>
            <w:r>
              <w:rPr>
                <w:rFonts w:ascii="Cambria Bold" w:hAnsi="Cambria Bold"/>
                <w:b/>
                <w:color w:val="1B4167"/>
                <w:sz w:val="24"/>
              </w:rPr>
              <w:t>Investitia trebuie sa se incadreze in domeniul medical si/sau social;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Se verifica in Studiu de Fezabilitate/Memoriu Justificativ/Cerere de Finantare daca investitia propusa este destinata unor activitati/ echipamente/servicii/ sau infrastructuri din sfera medicala si/sau sociala conform ghidului.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  </w:t>
            </w:r>
          </w:p>
        </w:tc>
        <w:tc>
          <w:tcPr>
            <w:vAlign w:val="center"/>
          </w:tcPr>
          <w:p>
            <w:r>
              <w:rPr>
                <w:rFonts w:ascii="Cambria Bold" w:hAnsi="Cambria Bold"/>
                <w:b/>
                <w:color w:val="1B4167"/>
                <w:sz w:val="24"/>
              </w:rPr>
              <w:t>Alte criterii de eligibilitate generale stabilite la novelul PNS 2023-2027.</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Verificarea respectarii criteriilor generale de eligibilitate stabilite la nivelul PNS 2023-2027 se face in conformitate cu prevederile deja descrise in sectiunea anterioara "Conditii generale de eligibilitate din prezentul ghid"</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w:t>
            </w:r>
          </w:p>
        </w:tc>
        <w:tc>
          <w:tcPr>
            <w:vAlign w:val="center"/>
          </w:tcPr>
          <w:p>
            <w:r>
              <w:rPr>
                <w:rFonts w:ascii="Cambria Bold" w:hAnsi="Cambria Bold"/>
                <w:b/>
                <w:color w:val="1B4167"/>
                <w:sz w:val="24"/>
              </w:rPr>
              <w:t>Indeplinirea conditiilor de eligibilitate comune aplicabile tuturor masurilor SDL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Conditiile de mai jos sunt prezentate intr-o forma consolidata, fiind deja analizate, integral sau partial, in sectiunea anterioara a ghidului - Conditii generale de eligibilitate. Reiterarea lor are scopul de a evidentia cerintele comune aplicabile tuturor masurilor din SDL.</w:t>
            </w:r>
          </w:p>
          <w:p>
            <w:pPr>
              <w:spacing w:line="360" w:lineRule="auto"/>
              <w:ind w:left="0" w:right="0" w:firstLine="493"/>
            </w:pPr>
            <w:r>
              <w:rPr>
                <w:rFonts w:ascii="Cambria" w:hAnsi="Cambria"/>
                <w:b w:val="false"/>
                <w:sz w:val="24"/>
              </w:rPr>
              <w:t>7.1 Solicitantul trebuie sa se incadreze in categoria beneficiarilor eligibili; Categoriile de benefic</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Impactul in comunitate;</w:t>
            </w:r>
          </w:p>
        </w:tc>
        <w:tc>
          <w:tcPr>
            <w:shd w:val="clear" w:color="auto" w:fill="CCE1DB"/>
            <w:vAlign w:val="center"/>
          </w:tcPr>
          <w:p>
            <w:pPr>
              <w:spacing w:line="360" w:lineRule="auto"/>
              <w:ind w:left="0" w:right="0" w:firstLine="493"/>
            </w:pPr>
            <w:r>
              <w:rPr>
                <w:rFonts w:ascii="Cambria Bold" w:hAnsi="Cambria Bold"/>
                <w:b/>
                <w:color w:val="014935"/>
                <w:sz w:val="24"/>
              </w:rPr>
              <w:t>45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r>
              <w:rPr>
                <w:rFonts w:ascii="Cambria" w:hAnsi="Cambria"/>
                <w:b w:val="false"/>
                <w:color w:val="58400C"/>
                <w:sz w:val="24"/>
              </w:rPr>
              <w:t>Existența serviciilor sociale si/sau medicale similare în UAT în care se implementează proiectul </w:t>
            </w:r>
          </w:p>
        </w:tc>
        <w:tc>
          <w:tcPr>
            <w:vAlign w:val="center"/>
          </w:tcPr>
          <w:p>
            <w:pPr>
              <w:keepNext/>
              <w:jc w:val="center"/>
            </w:pPr>
            <w:r>
              <w:rPr>
                <w:rFonts w:ascii="Cambria" w:hAnsi="Cambria"/>
                <w:b w:val="false"/>
                <w:sz w:val="24"/>
              </w:rPr>
              <w:t>25</w:t>
            </w:r>
          </w:p>
        </w:tc>
        <w:tc>
          <w:tcPr>
            <w:vAlign w:val="center"/>
          </w:tcPr>
          <w:p/>
        </w:tc>
        <w:tc>
          <w:tcPr>
            <w:vAlign w:val="center"/>
          </w:tcPr>
          <w:p/>
        </w:tc>
      </w:tr>
      <w:tr>
        <w:trPr/>
        <w:tc>
          <w:tcPr>
            <w:gridSpan w:val="5"/>
            <w:shd w:val="clear" w:color="auto" w:fill="DDDDDD"/>
            <w:vAlign w:val="center"/>
          </w:tcPr>
          <w:p>
            <w:r>
              <w:rPr>
                <w:rFonts w:ascii="Cambria" w:hAnsi="Cambria"/>
                <w:b w:val="false"/>
                <w:sz w:val="24"/>
              </w:rPr>
              <w:t>Punctajul se acorda in functie de existenta serviciilor similare propuse prin proiect, in comuna unde se implementeaza proiectul (investitia principala) dupa cum urmeaza:</w:t>
            </w:r>
          </w:p>
          <w:p>
            <w:pPr>
              <w:pStyle w:val="ListParagraph"/>
              <w:numPr>
                <w:ilvl w:val="0"/>
                <w:numId w:val="2"/>
              </w:numPr>
            </w:pPr>
            <w:r>
              <w:rPr>
                <w:rFonts w:ascii="Cambria" w:hAnsi="Cambria"/>
                <w:b w:val="false"/>
                <w:sz w:val="24"/>
              </w:rPr>
              <w:t>Nu există servicii – 25 puncte;</w:t>
            </w:r>
          </w:p>
          <w:p>
            <w:pPr>
              <w:pStyle w:val="ListParagraph"/>
              <w:numPr>
                <w:ilvl w:val="0"/>
                <w:numId w:val="2"/>
              </w:numPr>
            </w:pPr>
            <w:r>
              <w:rPr>
                <w:rFonts w:ascii="Cambria" w:hAnsi="Cambria"/>
                <w:b w:val="false"/>
                <w:sz w:val="24"/>
              </w:rPr>
              <w:t>Există servicii, dar sunt insuficiente (subdimensionate, fără dotări, etc.) – 15 puncte;</w:t>
            </w:r>
          </w:p>
          <w:p>
            <w:pPr>
              <w:pStyle w:val="ListParagraph"/>
              <w:numPr>
                <w:ilvl w:val="0"/>
                <w:numId w:val="2"/>
              </w:numPr>
            </w:pPr>
            <w:r>
              <w:rPr>
                <w:rFonts w:ascii="Cambria" w:hAnsi="Cambria"/>
                <w:b w:val="false"/>
                <w:sz w:val="24"/>
              </w:rPr>
              <w:t>Nu se acorda punctaj daca există servicii similare și sunt funcționale la un nivel satisfăcător.</w:t>
            </w:r>
          </w:p>
          <w:p>
            <w:pPr>
              <w:spacing w:line="360" w:lineRule="auto"/>
              <w:ind w:left="0" w:right="0" w:firstLine="493"/>
            </w:pPr>
            <w:r>
              <w:rPr>
                <w:rFonts w:ascii="Cambria" w:hAnsi="Cambria"/>
                <w:b w:val="false"/>
                <w:sz w:val="24"/>
              </w:rPr>
              <w:t>Metodologie de verificare: se verifica Anexa la Ghid privind indeplinirea criteriilor de selectie si declaratia solicitantului cu privire la situatia curenta din comuna.</w:t>
            </w:r>
          </w:p>
          <w:p>
            <w:pPr>
              <w:spacing w:line="360" w:lineRule="auto"/>
              <w:ind w:left="0" w:right="0" w:firstLine="493"/>
            </w:pPr>
            <w:r>
              <w:rPr>
                <w:rFonts w:ascii="Cambria" w:hAnsi="Cambria"/>
                <w:b w:val="false"/>
                <w:sz w:val="24"/>
              </w:rPr>
              <w:t>Acest criteriu se cumuleaza cu CS 1.2.</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1.2</w:t>
            </w:r>
          </w:p>
        </w:tc>
        <w:tc>
          <w:tcPr>
            <w:shd w:val="clear" w:color="auto" w:fill="F8ECD2"/>
            <w:vAlign w:val="center"/>
          </w:tcPr>
          <w:p>
            <w:r>
              <w:rPr>
                <w:rFonts w:ascii="Cambria" w:hAnsi="Cambria"/>
                <w:b w:val="false"/>
                <w:color w:val="58400C"/>
                <w:sz w:val="24"/>
              </w:rPr>
              <w:t>Gradul de acoperire teritorială a serviciilor în zonă</w:t>
            </w:r>
          </w:p>
        </w:tc>
        <w:tc>
          <w:tcPr>
            <w:vAlign w:val="center"/>
          </w:tcPr>
          <w:p>
            <w:pPr>
              <w:keepNext/>
              <w:spacing w:line="360" w:lineRule="auto"/>
              <w:ind w:left="0" w:right="0" w:firstLine="493"/>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Punctajul se acorda in functie de nivelul se gradul de acoperire al investitiei finantate prin proiect.</w:t>
            </w:r>
          </w:p>
          <w:p>
            <w:pPr>
              <w:spacing w:line="360" w:lineRule="auto"/>
              <w:ind w:left="0" w:right="0" w:firstLine="493"/>
            </w:pPr>
            <w:r>
              <w:rPr>
                <w:rFonts w:ascii="Cambria" w:hAnsi="Cambria"/>
                <w:b w:val="false"/>
                <w:sz w:val="24"/>
              </w:rPr>
              <w:t>Solicitantul va completa anexa la Ghid, unde va preciza daca proiectul (investitia principala) are impact la nivel de comuna sau la nivel intercomunitar (din prisma serviciilor oferite). </w:t>
            </w:r>
          </w:p>
          <w:p>
            <w:pPr>
              <w:spacing w:line="360" w:lineRule="auto"/>
              <w:ind w:left="0" w:right="0" w:firstLine="493"/>
            </w:pPr>
            <w:r>
              <w:rPr>
                <w:rFonts w:ascii="Cambria" w:hAnsi="Cambria"/>
                <w:b w:val="false"/>
                <w:sz w:val="24"/>
              </w:rPr>
              <w:t>Pentru acest criteriu, se acorda punctaj daca investitia are impact la nivel intercomunitar.</w:t>
            </w:r>
          </w:p>
          <w:p>
            <w:pPr>
              <w:spacing w:line="360" w:lineRule="auto"/>
              <w:ind w:left="0" w:right="0" w:firstLine="493"/>
            </w:pPr>
            <w:r>
              <w:rPr>
                <w:rFonts w:ascii="Cambria" w:hAnsi="Cambria"/>
                <w:b w:val="false"/>
                <w:sz w:val="24"/>
              </w:rPr>
              <w:t>Acest criteriu se cumuleaza cu CS 1.1.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Integrarea solutiilor inovatoare / digitale/ de protectie a mediului;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r>
              <w:rPr>
                <w:rFonts w:ascii="Cambria" w:hAnsi="Cambria"/>
                <w:b w:val="false"/>
                <w:color w:val="58400C"/>
                <w:sz w:val="24"/>
              </w:rPr>
              <w:t>Proiectul include o soluție inovatoare față de practica existentă în zonă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punctează proiectele care prevăd echipamente, metode sau funcționalități ce aduc un element de noutate la nivel local (ex: dotări neutilizate anterior în comunitate, combinații noi de echipamente, funcții suplimentare față de variante clasice etc.).</w:t>
            </w:r>
          </w:p>
          <w:p>
            <w:pPr>
              <w:spacing w:line="360" w:lineRule="auto"/>
              <w:ind w:left="0" w:right="0" w:firstLine="493"/>
            </w:pPr>
            <w:r>
              <w:rPr>
                <w:rFonts w:ascii="Cambria" w:hAnsi="Cambria"/>
                <w:b w:val="false"/>
                <w:sz w:val="24"/>
              </w:rPr>
              <w:t>Acest criteriu se cumuleaza cu CS 2.2 si 2.3.</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w:t>
            </w:r>
          </w:p>
        </w:tc>
        <w:tc>
          <w:tcPr>
            <w:shd w:val="clear" w:color="auto" w:fill="F8ECD2"/>
            <w:vAlign w:val="center"/>
          </w:tcPr>
          <w:p>
            <w:r>
              <w:rPr>
                <w:rFonts w:ascii="Cambria" w:hAnsi="Cambria"/>
                <w:b w:val="false"/>
                <w:color w:val="58400C"/>
                <w:sz w:val="24"/>
              </w:rPr>
              <w:t>Proiectul integrează o soluție digitală care contribuie la eficientizarea activității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punctează proiectele care includ aplicații software, automatizări, sisteme de monitorizare digitală, platforme online, echipamente cu componente IT ce optimizează activitatea propusă.</w:t>
            </w:r>
          </w:p>
          <w:p>
            <w:pPr>
              <w:spacing w:line="360" w:lineRule="auto"/>
              <w:ind w:left="0" w:right="0" w:firstLine="493"/>
            </w:pPr>
            <w:r>
              <w:rPr>
                <w:rFonts w:ascii="Cambria" w:hAnsi="Cambria"/>
                <w:b w:val="false"/>
                <w:sz w:val="24"/>
              </w:rPr>
              <w:t>Acest criteriu se cumuleaza cu CS 2.1 si 2.3.</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2.3</w:t>
            </w:r>
          </w:p>
        </w:tc>
        <w:tc>
          <w:tcPr>
            <w:shd w:val="clear" w:color="auto" w:fill="F8ECD2"/>
            <w:vAlign w:val="center"/>
          </w:tcPr>
          <w:p>
            <w:r>
              <w:rPr>
                <w:rFonts w:ascii="Cambria" w:hAnsi="Cambria"/>
                <w:b w:val="false"/>
                <w:color w:val="58400C"/>
                <w:sz w:val="24"/>
              </w:rPr>
              <w:t>Proiectul include măsuri concrete de protecție a mediului</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punctează proiectele care prevăd echipamente sau metode care reduc consumul de resurse (apă, energie, combustibili, resurse umane, etc.), limitează poluarea sau utilizează materiale ecologice/reutilizabile.</w:t>
            </w:r>
          </w:p>
          <w:p>
            <w:pPr>
              <w:spacing w:line="360" w:lineRule="auto"/>
              <w:ind w:left="0" w:right="0" w:firstLine="493"/>
            </w:pPr>
            <w:r>
              <w:rPr>
                <w:rFonts w:ascii="Cambria" w:hAnsi="Cambria"/>
                <w:b w:val="false"/>
                <w:sz w:val="24"/>
              </w:rPr>
              <w:t>Acest criteriu se cumuleaza cu CS 2.1 si 2.2.</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Prioritizarea proiectelor integrate.</w:t>
            </w:r>
          </w:p>
        </w:tc>
        <w:tc>
          <w:tcPr>
            <w:shd w:val="clear" w:color="auto" w:fill="CCE1DB"/>
            <w:vAlign w:val="center"/>
          </w:tcPr>
          <w:p>
            <w:pPr>
              <w:spacing w:line="360" w:lineRule="auto"/>
              <w:ind w:left="0" w:right="0" w:firstLine="493"/>
            </w:pPr>
            <w:r>
              <w:rPr>
                <w:rFonts w:ascii="Cambria Bold" w:hAnsi="Cambria Bold"/>
                <w:b/>
                <w:color w:val="014935"/>
                <w:sz w:val="24"/>
              </w:rPr>
              <w:t>25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r>
              <w:rPr>
                <w:rFonts w:ascii="Cambria" w:hAnsi="Cambria"/>
                <w:b w:val="false"/>
                <w:color w:val="58400C"/>
                <w:sz w:val="24"/>
              </w:rPr>
              <w:t>Proiectul include acțiuni integrate care vizează atât componenta medicală, cât și componenta socială, prin organizarea de campanii de conștientizare privind prevenția medicală și sprijinirea categoriilor vulnerabile.</w:t>
            </w:r>
          </w:p>
        </w:tc>
        <w:tc>
          <w:tcPr>
            <w:vAlign w:val="center"/>
          </w:tcPr>
          <w:p>
            <w:pPr>
              <w:keepNext/>
              <w:jc w:val="center"/>
            </w:pPr>
            <w:r>
              <w:rPr>
                <w:rFonts w:ascii="Cambria" w:hAnsi="Cambria"/>
                <w:b w:val="false"/>
                <w:sz w:val="24"/>
              </w:rPr>
              <w:t>25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punctează proiectele care includ activități sau campanii de constientizare ce transmit mesaje și informații relevante din ambele domenii (medical și social), evidențiind legătura dintre starea de sănătate și nevoia de sprijin social în comunitate.</w:t>
            </w:r>
          </w:p>
          <w:p>
            <w:pPr>
              <w:spacing w:line="360" w:lineRule="auto"/>
              <w:ind w:left="0" w:right="0" w:firstLine="493"/>
            </w:pPr>
            <w:r>
              <w:rPr>
                <w:rFonts w:ascii="Cambria" w:hAnsi="Cambria"/>
                <w:b w:val="false"/>
                <w:sz w:val="24"/>
              </w:rPr>
              <w:t>Se acordă 10 puncte dacă se organizează cel puțin o campanie care abordează ambele componente (medical si social);</w:t>
            </w:r>
          </w:p>
          <w:p>
            <w:pPr>
              <w:spacing w:line="360" w:lineRule="auto"/>
              <w:ind w:left="0" w:right="0" w:firstLine="493"/>
            </w:pPr>
            <w:r>
              <w:rPr>
                <w:rFonts w:ascii="Cambria" w:hAnsi="Cambria"/>
                <w:b w:val="false"/>
                <w:sz w:val="24"/>
              </w:rPr>
              <w:t>Se acordă 25 puncte dacă se organizează minimum doua campanii cu tematică integrată.</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Distribuirea echilibrată afondurilor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Au prioritate solicitantii care nu au depus o cerere de finantare in cadrul Intervenției nr. 4 - Dezvoltarea serviciilor publice locale (PNS 2027).Verificarea se realizează la momentul întocmirii Fișei de evaluare șiselecție, prin consultarea bazei de date interne a proiectelor depuse in apeluri active sau închise lansate de GAL.Acest criteriu urmărește asigurarea unei participări echitabile lafinanțare, permițând accesul unui număr cât mai mare de solicitanți, în special în cadrul primelor apeluri de selecție aferente intervențiilor 4 și 5.În cadrul acestui criteriu de departajare, analiza se realizează la nivel de unitate administrativ-teritorială (comună).Astfel, dacă din aceeași comună sunt depuse proiecte de către douăentități publice distincte (de exemplu, Comuna și o alta instituție publică de interes local), se va considera că respectiva UAT adepus două proiecte pe cele două intervenții (Intervenția 4 și Intervenția 5) caz in care proiectul depus pentru prezentul apel nu va beneficia de prioritate în cadrul criteriului de departajare care vizează promovarea distribuirii echilibrate a fondurilor.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r>
              <w:rPr>
                <w:rFonts w:ascii="Cambria" w:hAnsi="Cambria"/>
                <w:b w:val="false"/>
                <w:color w:val="58400C"/>
                <w:sz w:val="24"/>
              </w:rPr>
              <w:t>Valoarea eligibila a proiectului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Au prioritate proiectele a caror valoare eligibila este mai mica, in ordinecrescatoare.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3 </w:t>
            </w:r>
          </w:p>
        </w:tc>
        <w:tc>
          <w:tcPr>
            <w:shd w:val="clear" w:color="auto" w:fill="F8ECD2"/>
            <w:vAlign w:val="center"/>
          </w:tcPr>
          <w:p>
            <w:r>
              <w:rPr>
                <w:rFonts w:ascii="Cambria" w:hAnsi="Cambria"/>
                <w:b w:val="false"/>
                <w:color w:val="58400C"/>
                <w:sz w:val="24"/>
              </w:rPr>
              <w:t>Proiecte care au obtinut punctaj la principiul de selectie nr. 2</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punctajul obtinut la Principiul de selectie nr. 2.Au prioritate proiectele cu punctaj mai mare.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4 </w:t>
            </w:r>
          </w:p>
        </w:tc>
        <w:tc>
          <w:tcPr>
            <w:shd w:val="clear" w:color="auto" w:fill="F8ECD2"/>
            <w:vAlign w:val="center"/>
          </w:tcPr>
          <w:p>
            <w:r>
              <w:rPr>
                <w:rFonts w:ascii="Cambria" w:hAnsi="Cambria"/>
                <w:b w:val="false"/>
                <w:color w:val="58400C"/>
                <w:sz w:val="24"/>
              </w:rPr>
              <w:t>Proiecte care au obtinut punctaj maxim la criteriul de selecti CS 1.1.</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puntajul obtinut la Criteriul CS 1.1. Au prioritate proiectele care au obtinut 25 puncte la CS 1.1.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5 </w:t>
            </w:r>
          </w:p>
        </w:tc>
        <w:tc>
          <w:tcPr>
            <w:shd w:val="clear" w:color="auto" w:fill="F8ECD2"/>
            <w:vAlign w:val="center"/>
          </w:tcPr>
          <w:p>
            <w:r>
              <w:rPr>
                <w:rFonts w:ascii="Cambria" w:hAnsi="Cambria"/>
                <w:b w:val="false"/>
                <w:color w:val="58400C"/>
                <w:sz w:val="24"/>
              </w:rPr>
              <w:t>Data si ora depunerii proiectului.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data si ora depunerii (transmiterii) proiectului în sistemulelectronic de depunere (platforma online indicată în Ghidul solicitantului)sau, după caz, data și ora înscrise pe dovada de înregistrare.Proiectele se departajează în funcție de ordinea cronologică a depunerii,având prioritate proiectele transmise cel mai devreme, conform datei șiorei înregistrate în sistemul de depunere.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d55e3cabfa0e4e6d" /><Relationship Type="http://schemas.openxmlformats.org/officeDocument/2006/relationships/numbering" Target="/word/numbering.xml" Id="Rc6cb8ae60ee14bcf" /></Relationships>
</file>